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0CD49AB4"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754497">
        <w:rPr>
          <w:b/>
          <w:noProof/>
          <w:sz w:val="24"/>
        </w:rPr>
        <w:t>5bis</w:t>
      </w:r>
      <w:r w:rsidRPr="00316DEE">
        <w:rPr>
          <w:b/>
          <w:i/>
          <w:noProof/>
          <w:sz w:val="24"/>
        </w:rPr>
        <w:t xml:space="preserve"> </w:t>
      </w:r>
      <w:r w:rsidRPr="00316DEE">
        <w:rPr>
          <w:b/>
          <w:i/>
          <w:noProof/>
          <w:sz w:val="28"/>
        </w:rPr>
        <w:tab/>
      </w:r>
      <w:r w:rsidR="004E6EA2" w:rsidRPr="004E6EA2">
        <w:rPr>
          <w:b/>
          <w:noProof/>
          <w:sz w:val="28"/>
        </w:rPr>
        <w:t>R2-</w:t>
      </w:r>
      <w:r w:rsidR="0085644F" w:rsidRPr="004C7FFD">
        <w:rPr>
          <w:b/>
          <w:noProof/>
          <w:sz w:val="28"/>
        </w:rPr>
        <w:t>1</w:t>
      </w:r>
      <w:r w:rsidR="00A13AD4">
        <w:rPr>
          <w:b/>
          <w:noProof/>
          <w:sz w:val="28"/>
        </w:rPr>
        <w:t>9</w:t>
      </w:r>
      <w:r w:rsidR="00B964E1">
        <w:rPr>
          <w:b/>
          <w:noProof/>
          <w:sz w:val="28"/>
        </w:rPr>
        <w:t>03187</w:t>
      </w:r>
    </w:p>
    <w:p w14:paraId="741039CD" w14:textId="29DAC869" w:rsidR="003415D0" w:rsidRDefault="00754497" w:rsidP="00FB6D48">
      <w:pPr>
        <w:pStyle w:val="CRCoverPage"/>
        <w:tabs>
          <w:tab w:val="right" w:pos="9639"/>
        </w:tabs>
        <w:spacing w:after="0"/>
        <w:rPr>
          <w:b/>
          <w:bCs/>
          <w:i/>
          <w:sz w:val="24"/>
          <w:szCs w:val="24"/>
        </w:rPr>
      </w:pPr>
      <w:r w:rsidRPr="008C0B6D">
        <w:rPr>
          <w:b/>
          <w:noProof/>
          <w:sz w:val="24"/>
        </w:rPr>
        <w:t>Xi</w:t>
      </w:r>
      <w:r w:rsidR="00B964E1">
        <w:rPr>
          <w:b/>
          <w:noProof/>
          <w:sz w:val="24"/>
        </w:rPr>
        <w:t>’</w:t>
      </w:r>
      <w:r w:rsidRPr="008C0B6D">
        <w:rPr>
          <w:b/>
          <w:noProof/>
          <w:sz w:val="24"/>
        </w:rPr>
        <w:t>an, China, 8 - 12 April 2019</w:t>
      </w:r>
      <w:r w:rsidR="003415D0">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723DFCB6" w14:textId="77777777" w:rsidR="00215520" w:rsidRDefault="00215520" w:rsidP="004D238B">
      <w:pPr>
        <w:tabs>
          <w:tab w:val="left" w:pos="1985"/>
        </w:tabs>
        <w:jc w:val="both"/>
        <w:rPr>
          <w:rFonts w:ascii="Arial" w:hAnsi="Arial"/>
          <w:b/>
          <w:sz w:val="24"/>
          <w:lang w:val="en-US"/>
        </w:rPr>
      </w:pPr>
    </w:p>
    <w:p w14:paraId="3206D182" w14:textId="65FE9243"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F2735">
        <w:rPr>
          <w:rFonts w:ascii="Arial" w:hAnsi="Arial"/>
          <w:sz w:val="24"/>
          <w:lang w:val="en-US"/>
        </w:rPr>
        <w:t>12.2.4</w:t>
      </w:r>
      <w:r w:rsidR="00950B97">
        <w:rPr>
          <w:rFonts w:ascii="Arial" w:hAnsi="Arial"/>
          <w:sz w:val="24"/>
          <w:lang w:val="en-US"/>
        </w:rPr>
        <w:t>, 12.1.4</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5D7886CA"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8A12CB">
        <w:rPr>
          <w:rFonts w:ascii="Arial" w:hAnsi="Arial"/>
          <w:sz w:val="22"/>
          <w:lang w:val="en-US"/>
        </w:rPr>
        <w:t>(R</w:t>
      </w:r>
      <w:r w:rsidR="008A12CB" w:rsidRPr="008A12CB">
        <w:rPr>
          <w:rFonts w:ascii="Arial" w:hAnsi="Arial"/>
          <w:sz w:val="22"/>
          <w:lang w:val="en-US"/>
        </w:rPr>
        <w:t>e</w:t>
      </w:r>
      <w:r w:rsidR="008A12CB">
        <w:rPr>
          <w:rFonts w:ascii="Arial" w:hAnsi="Arial"/>
          <w:sz w:val="22"/>
          <w:lang w:val="en-US"/>
        </w:rPr>
        <w:t>)</w:t>
      </w:r>
      <w:r w:rsidR="008A12CB" w:rsidRPr="008A12CB">
        <w:rPr>
          <w:rFonts w:ascii="Arial" w:hAnsi="Arial"/>
          <w:sz w:val="22"/>
          <w:lang w:val="en-US"/>
        </w:rPr>
        <w:t>configuration</w:t>
      </w:r>
      <w:r w:rsidR="00DA4CE8">
        <w:rPr>
          <w:rFonts w:ascii="Arial" w:hAnsi="Arial"/>
          <w:sz w:val="22"/>
          <w:lang w:val="en-US"/>
        </w:rPr>
        <w:t xml:space="preserve"> and release</w:t>
      </w:r>
      <w:r w:rsidR="008A12CB" w:rsidRPr="008A12CB">
        <w:rPr>
          <w:rFonts w:ascii="Arial" w:hAnsi="Arial"/>
          <w:sz w:val="22"/>
          <w:lang w:val="en-US"/>
        </w:rPr>
        <w:t xml:space="preserve"> of </w:t>
      </w:r>
      <w:r w:rsidR="00DC2083">
        <w:rPr>
          <w:rFonts w:ascii="Arial" w:hAnsi="Arial"/>
          <w:sz w:val="22"/>
          <w:lang w:val="en-US"/>
        </w:rPr>
        <w:t xml:space="preserve">PUR </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1" w:name="_Ref492503575"/>
      <w:r w:rsidRPr="00316DEE">
        <w:t>Introduction</w:t>
      </w:r>
      <w:bookmarkEnd w:id="1"/>
    </w:p>
    <w:p w14:paraId="77BBA730" w14:textId="55CAF21C" w:rsidR="00950B97" w:rsidRDefault="00950B97" w:rsidP="00950B97">
      <w:pPr>
        <w:jc w:val="both"/>
      </w:pPr>
      <w:r w:rsidRPr="00316DEE">
        <w:t xml:space="preserve">The WI description for </w:t>
      </w:r>
      <w:r>
        <w:rPr>
          <w:bCs/>
          <w:shd w:val="clear" w:color="auto" w:fill="FFFFFF"/>
        </w:rPr>
        <w:t>a</w:t>
      </w:r>
      <w:r w:rsidRPr="004829A6">
        <w:rPr>
          <w:bCs/>
          <w:shd w:val="clear" w:color="auto" w:fill="FFFFFF"/>
        </w:rPr>
        <w:t>dditional MTC enhancements for LTE</w:t>
      </w:r>
      <w:r w:rsidRPr="00316DEE">
        <w:t xml:space="preserve"> is given in [1]. </w:t>
      </w:r>
      <w:r>
        <w:t xml:space="preserve">The WI description for additional NB-IoT enhancements is given in [2]. One of the common objectives of </w:t>
      </w:r>
      <w:proofErr w:type="gramStart"/>
      <w:r>
        <w:t>both of the WIs</w:t>
      </w:r>
      <w:proofErr w:type="gramEnd"/>
      <w:r>
        <w:t xml:space="preserve"> is:</w:t>
      </w:r>
    </w:p>
    <w:tbl>
      <w:tblPr>
        <w:tblStyle w:val="TableGrid"/>
        <w:tblW w:w="0" w:type="auto"/>
        <w:tblLook w:val="04A0" w:firstRow="1" w:lastRow="0" w:firstColumn="1" w:lastColumn="0" w:noHBand="0" w:noVBand="1"/>
      </w:tblPr>
      <w:tblGrid>
        <w:gridCol w:w="9350"/>
      </w:tblGrid>
      <w:tr w:rsidR="00950B97" w14:paraId="0E8ED68E" w14:textId="77777777" w:rsidTr="00950B97">
        <w:tc>
          <w:tcPr>
            <w:tcW w:w="9350" w:type="dxa"/>
          </w:tcPr>
          <w:p w14:paraId="5CA28AD3" w14:textId="77777777" w:rsidR="00950B97" w:rsidRDefault="00950B97" w:rsidP="00950B97">
            <w:pPr>
              <w:spacing w:after="0"/>
              <w:rPr>
                <w:b/>
                <w:bCs/>
              </w:rPr>
            </w:pPr>
            <w:r>
              <w:rPr>
                <w:b/>
                <w:bCs/>
              </w:rPr>
              <w:t>Improved UL transmission efficiency and/or UE power consumption:</w:t>
            </w:r>
          </w:p>
          <w:p w14:paraId="62B49E16" w14:textId="77777777" w:rsidR="00950B97" w:rsidRDefault="00950B97" w:rsidP="00950B97">
            <w:pPr>
              <w:numPr>
                <w:ilvl w:val="0"/>
                <w:numId w:val="31"/>
              </w:numPr>
              <w:spacing w:after="0"/>
              <w:textAlignment w:val="auto"/>
              <w:rPr>
                <w:bCs/>
              </w:rPr>
            </w:pPr>
            <w:bookmarkStart w:id="2" w:name="_Hlk516687799"/>
            <w:r>
              <w:rPr>
                <w:bCs/>
              </w:rPr>
              <w:t>Specify support for transmission in preconfigured resources in idle and/or connected mode based on SC-FDMA waveform for UEs with a valid timing advance [RAN1, RAN2</w:t>
            </w:r>
            <w:bookmarkStart w:id="3" w:name="_Hlk516765211"/>
            <w:r>
              <w:rPr>
                <w:bCs/>
              </w:rPr>
              <w:t>, RAN</w:t>
            </w:r>
            <w:bookmarkEnd w:id="3"/>
            <w:r>
              <w:rPr>
                <w:bCs/>
              </w:rPr>
              <w:t>4]</w:t>
            </w:r>
          </w:p>
          <w:p w14:paraId="46219F3D" w14:textId="77777777" w:rsidR="00950B97" w:rsidRDefault="00950B97" w:rsidP="00950B97">
            <w:pPr>
              <w:numPr>
                <w:ilvl w:val="1"/>
                <w:numId w:val="31"/>
              </w:numPr>
              <w:spacing w:after="0"/>
              <w:textAlignment w:val="auto"/>
              <w:rPr>
                <w:bCs/>
              </w:rPr>
            </w:pPr>
            <w:r>
              <w:rPr>
                <w:bCs/>
              </w:rPr>
              <w:t>Both shared resources and dedicated resources can be discussed</w:t>
            </w:r>
          </w:p>
          <w:p w14:paraId="12C79AEB" w14:textId="4AC5427C" w:rsidR="00950B97" w:rsidRPr="00950B97" w:rsidRDefault="00950B97" w:rsidP="00950B97">
            <w:pPr>
              <w:numPr>
                <w:ilvl w:val="1"/>
                <w:numId w:val="31"/>
              </w:numPr>
              <w:spacing w:after="0"/>
              <w:textAlignment w:val="auto"/>
              <w:rPr>
                <w:bCs/>
              </w:rPr>
            </w:pPr>
            <w:r>
              <w:rPr>
                <w:bCs/>
              </w:rPr>
              <w:t>Note: This is limited to orthogonal (multi) access schemes</w:t>
            </w:r>
            <w:bookmarkEnd w:id="2"/>
          </w:p>
        </w:tc>
      </w:tr>
    </w:tbl>
    <w:p w14:paraId="0A88DD62" w14:textId="62DB2654" w:rsidR="00950B97" w:rsidRDefault="00950B97" w:rsidP="00804C66"/>
    <w:p w14:paraId="0C5A4DF1" w14:textId="4CD3669A" w:rsidR="00227918" w:rsidRDefault="00227918" w:rsidP="00804C66">
      <w:r>
        <w:t xml:space="preserve">In this contribution, we provide our </w:t>
      </w:r>
      <w:r w:rsidR="00E81088">
        <w:t xml:space="preserve">views </w:t>
      </w:r>
      <w:r>
        <w:t xml:space="preserve">on </w:t>
      </w:r>
      <w:r w:rsidR="000D1A6E">
        <w:t>(re)configuration and release of PUR</w:t>
      </w:r>
      <w:r w:rsidR="00FD09E0">
        <w:t xml:space="preserve"> considering the agreements in </w:t>
      </w:r>
      <w:r w:rsidR="000E7C10">
        <w:t>previous RAN2 meetings and the aspects not covered by email discussion on D-PUR [8]</w:t>
      </w:r>
      <w:r w:rsidR="00FD09E0">
        <w:t>.</w:t>
      </w:r>
    </w:p>
    <w:p w14:paraId="00D67F95" w14:textId="0EDC89AE" w:rsidR="00227918" w:rsidRDefault="00227918" w:rsidP="002F387E">
      <w:pPr>
        <w:pStyle w:val="Heading1"/>
      </w:pPr>
      <w:r>
        <w:t>Background</w:t>
      </w:r>
    </w:p>
    <w:p w14:paraId="69B05A33" w14:textId="24D5A33D" w:rsidR="00E21052" w:rsidRDefault="00FF70C5" w:rsidP="00804C66">
      <w:r>
        <w:t>Regarding the objective</w:t>
      </w:r>
      <w:r w:rsidR="00227918">
        <w:t xml:space="preserve"> shown in section 1</w:t>
      </w:r>
      <w:r w:rsidR="00804C66">
        <w:t xml:space="preserve">, </w:t>
      </w:r>
      <w:r w:rsidR="00A930D9">
        <w:t>RAN1#94bis agreed the following</w:t>
      </w:r>
      <w:r w:rsidR="004A5FB0">
        <w:t xml:space="preserve"> (partial list of relevant agreements)</w:t>
      </w:r>
      <w:r w:rsidR="00A24B23">
        <w:t xml:space="preserve"> [6] [7]</w:t>
      </w:r>
      <w:r w:rsidR="00A930D9">
        <w:t>:</w:t>
      </w:r>
    </w:p>
    <w:tbl>
      <w:tblPr>
        <w:tblStyle w:val="TableGrid"/>
        <w:tblW w:w="0" w:type="auto"/>
        <w:tblLook w:val="04A0" w:firstRow="1" w:lastRow="0" w:firstColumn="1" w:lastColumn="0" w:noHBand="0" w:noVBand="1"/>
      </w:tblPr>
      <w:tblGrid>
        <w:gridCol w:w="9350"/>
      </w:tblGrid>
      <w:tr w:rsidR="00A930D9" w14:paraId="3C83A002" w14:textId="77777777" w:rsidTr="00A930D9">
        <w:tc>
          <w:tcPr>
            <w:tcW w:w="9350" w:type="dxa"/>
          </w:tcPr>
          <w:p w14:paraId="5728092D" w14:textId="77777777" w:rsidR="004A5FB0" w:rsidRPr="00D537A2" w:rsidRDefault="004A5FB0" w:rsidP="004A5FB0">
            <w:pPr>
              <w:overflowPunct/>
              <w:autoSpaceDE/>
              <w:autoSpaceDN/>
              <w:adjustRightInd/>
              <w:spacing w:after="0"/>
              <w:textAlignment w:val="auto"/>
              <w:rPr>
                <w:rFonts w:eastAsia="Calibri"/>
                <w:lang w:val="en-US"/>
              </w:rPr>
            </w:pPr>
          </w:p>
          <w:p w14:paraId="5E6D87D7"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Agreement</w:t>
            </w:r>
          </w:p>
          <w:p w14:paraId="55C7F8FF" w14:textId="77777777" w:rsidR="004A5FB0" w:rsidRDefault="004A5FB0" w:rsidP="004A5FB0">
            <w:pPr>
              <w:overflowPunct/>
              <w:autoSpaceDE/>
              <w:autoSpaceDN/>
              <w:adjustRightInd/>
              <w:spacing w:after="0"/>
              <w:textAlignment w:val="auto"/>
              <w:rPr>
                <w:rFonts w:eastAsia="Calibri"/>
                <w:lang w:val="en-US"/>
              </w:rPr>
            </w:pPr>
            <w:r w:rsidRPr="00D537A2">
              <w:rPr>
                <w:rFonts w:eastAsia="Calibri"/>
                <w:lang w:val="en-US"/>
              </w:rPr>
              <w:t>Pre-configured UL resources for transmission of data are indicated by RRC signaling. At least UE-specific RRC signaling is supported.</w:t>
            </w:r>
          </w:p>
          <w:p w14:paraId="14E664D7" w14:textId="77777777" w:rsidR="00EA4248" w:rsidRDefault="00EA4248" w:rsidP="004A5FB0">
            <w:pPr>
              <w:overflowPunct/>
              <w:autoSpaceDE/>
              <w:autoSpaceDN/>
              <w:adjustRightInd/>
              <w:spacing w:after="0"/>
              <w:textAlignment w:val="auto"/>
              <w:rPr>
                <w:rFonts w:ascii="Calibri" w:eastAsia="Calibri" w:hAnsi="Calibri" w:cs="Calibri"/>
                <w:sz w:val="22"/>
                <w:szCs w:val="22"/>
                <w:lang w:val="en-US"/>
              </w:rPr>
            </w:pPr>
          </w:p>
          <w:p w14:paraId="3BEA25C3" w14:textId="77777777" w:rsidR="00EA4248" w:rsidRDefault="00EA4248" w:rsidP="00D537A2">
            <w:pPr>
              <w:overflowPunct/>
              <w:autoSpaceDE/>
              <w:autoSpaceDN/>
              <w:adjustRightInd/>
              <w:spacing w:after="0"/>
              <w:textAlignment w:val="auto"/>
              <w:rPr>
                <w:b/>
                <w:bCs/>
                <w:highlight w:val="green"/>
                <w:lang w:val="en-US" w:eastAsia="zh-CN"/>
              </w:rPr>
            </w:pPr>
            <w:r w:rsidRPr="00D537A2">
              <w:rPr>
                <w:rFonts w:eastAsia="Calibri"/>
                <w:b/>
                <w:bCs/>
                <w:highlight w:val="green"/>
                <w:lang w:val="en-US" w:eastAsia="x-none"/>
              </w:rPr>
              <w:t>Agreement</w:t>
            </w:r>
          </w:p>
          <w:p w14:paraId="20B783FB" w14:textId="77777777" w:rsidR="00EA4248" w:rsidRDefault="00EA4248" w:rsidP="00EA4248">
            <w:pPr>
              <w:overflowPunct/>
              <w:autoSpaceDE/>
              <w:autoSpaceDN/>
              <w:adjustRightInd/>
              <w:spacing w:after="0"/>
              <w:textAlignment w:val="auto"/>
              <w:rPr>
                <w:lang w:eastAsia="x-none"/>
              </w:rPr>
            </w:pPr>
            <w:r>
              <w:rPr>
                <w:lang w:eastAsia="x-none"/>
              </w:rPr>
              <w:t xml:space="preserve">The resource </w:t>
            </w:r>
            <w:r w:rsidRPr="00D537A2">
              <w:rPr>
                <w:rFonts w:eastAsia="Calibri"/>
                <w:lang w:val="en-US"/>
              </w:rPr>
              <w:t>configuration</w:t>
            </w:r>
            <w:r>
              <w:rPr>
                <w:lang w:eastAsia="x-none"/>
              </w:rPr>
              <w:t xml:space="preserve"> includes at least the following </w:t>
            </w:r>
          </w:p>
          <w:p w14:paraId="3B4EFB5E" w14:textId="77777777" w:rsidR="00EA4248" w:rsidRDefault="00EA4248" w:rsidP="00EA4248">
            <w:pPr>
              <w:pStyle w:val="ListParagraph"/>
              <w:numPr>
                <w:ilvl w:val="0"/>
                <w:numId w:val="46"/>
              </w:numPr>
              <w:overflowPunct/>
              <w:autoSpaceDE/>
              <w:autoSpaceDN/>
              <w:adjustRightInd/>
              <w:spacing w:after="0"/>
              <w:contextualSpacing w:val="0"/>
              <w:textAlignment w:val="auto"/>
              <w:rPr>
                <w:lang w:eastAsia="x-none"/>
              </w:rPr>
            </w:pPr>
            <w:r>
              <w:t xml:space="preserve">Time domain resources including periodicity(s) </w:t>
            </w:r>
          </w:p>
          <w:p w14:paraId="600E0E0D" w14:textId="77777777" w:rsidR="00EA4248" w:rsidRDefault="00EA4248" w:rsidP="00EA4248">
            <w:pPr>
              <w:pStyle w:val="ListParagraph"/>
              <w:numPr>
                <w:ilvl w:val="0"/>
                <w:numId w:val="46"/>
              </w:numPr>
              <w:overflowPunct/>
              <w:autoSpaceDE/>
              <w:autoSpaceDN/>
              <w:adjustRightInd/>
              <w:spacing w:after="0"/>
              <w:contextualSpacing w:val="0"/>
              <w:textAlignment w:val="auto"/>
            </w:pPr>
            <w:r>
              <w:t>Frequency domain resources</w:t>
            </w:r>
          </w:p>
          <w:p w14:paraId="163DFED0" w14:textId="77777777" w:rsidR="00EA4248" w:rsidRDefault="00EA4248" w:rsidP="00EA4248">
            <w:pPr>
              <w:pStyle w:val="ListParagraph"/>
              <w:numPr>
                <w:ilvl w:val="0"/>
                <w:numId w:val="46"/>
              </w:numPr>
              <w:overflowPunct/>
              <w:autoSpaceDE/>
              <w:autoSpaceDN/>
              <w:adjustRightInd/>
              <w:spacing w:after="0"/>
              <w:contextualSpacing w:val="0"/>
              <w:textAlignment w:val="auto"/>
            </w:pPr>
            <w:r>
              <w:t>TBS(s)/MCS(s)</w:t>
            </w:r>
          </w:p>
          <w:p w14:paraId="53DC10F6" w14:textId="73A826D3" w:rsidR="00EA4248" w:rsidRPr="00A930D9" w:rsidRDefault="00EA4248" w:rsidP="00D537A2">
            <w:pPr>
              <w:overflowPunct/>
              <w:autoSpaceDE/>
              <w:autoSpaceDN/>
              <w:adjustRightInd/>
              <w:spacing w:after="0"/>
              <w:textAlignment w:val="auto"/>
              <w:rPr>
                <w:rFonts w:ascii="Calibri" w:eastAsia="Calibri" w:hAnsi="Calibri" w:cs="Calibri"/>
                <w:sz w:val="22"/>
                <w:szCs w:val="22"/>
                <w:lang w:val="en-US"/>
              </w:rPr>
            </w:pPr>
          </w:p>
        </w:tc>
      </w:tr>
    </w:tbl>
    <w:p w14:paraId="74B71225" w14:textId="3BCBC508" w:rsidR="00481B5D" w:rsidRDefault="00481B5D" w:rsidP="00804C66"/>
    <w:p w14:paraId="135292CF" w14:textId="1D1D2D09" w:rsidR="00A50FC1" w:rsidRDefault="00A50FC1" w:rsidP="00804C66">
      <w:r>
        <w:t>During RAN2#104, following agreements were reached (partial list)</w:t>
      </w:r>
      <w:r w:rsidR="00C462B0">
        <w:t xml:space="preserve"> [9]</w:t>
      </w:r>
    </w:p>
    <w:tbl>
      <w:tblPr>
        <w:tblStyle w:val="TableGrid"/>
        <w:tblW w:w="0" w:type="auto"/>
        <w:tblLook w:val="04A0" w:firstRow="1" w:lastRow="0" w:firstColumn="1" w:lastColumn="0" w:noHBand="0" w:noVBand="1"/>
      </w:tblPr>
      <w:tblGrid>
        <w:gridCol w:w="9350"/>
      </w:tblGrid>
      <w:tr w:rsidR="00A50FC1" w14:paraId="5CE4171D" w14:textId="77777777" w:rsidTr="00B575A0">
        <w:tc>
          <w:tcPr>
            <w:tcW w:w="9350" w:type="dxa"/>
          </w:tcPr>
          <w:p w14:paraId="5902093A" w14:textId="77777777" w:rsidR="00A50FC1" w:rsidRDefault="00A50FC1" w:rsidP="00A50FC1">
            <w:pPr>
              <w:pStyle w:val="Agreement"/>
              <w:numPr>
                <w:ilvl w:val="0"/>
                <w:numId w:val="51"/>
              </w:numPr>
              <w:tabs>
                <w:tab w:val="clear" w:pos="360"/>
                <w:tab w:val="num" w:pos="1619"/>
              </w:tabs>
              <w:ind w:left="1619"/>
              <w:rPr>
                <w:b w:val="0"/>
                <w:lang w:val="en-US"/>
              </w:rPr>
            </w:pPr>
            <w:r>
              <w:rPr>
                <w:b w:val="0"/>
                <w:lang w:val="en-US"/>
              </w:rPr>
              <w:t xml:space="preserve">The </w:t>
            </w:r>
            <w:proofErr w:type="spellStart"/>
            <w:r>
              <w:rPr>
                <w:b w:val="0"/>
                <w:lang w:val="en-US"/>
              </w:rPr>
              <w:t>eNB</w:t>
            </w:r>
            <w:proofErr w:type="spellEnd"/>
            <w:r>
              <w:rPr>
                <w:b w:val="0"/>
                <w:lang w:val="en-US"/>
              </w:rPr>
              <w:t xml:space="preserve"> configures the dedicated preconfigured uplink resources via RRC dedicated signaling.</w:t>
            </w:r>
          </w:p>
          <w:p w14:paraId="3E28D1EF" w14:textId="77777777" w:rsidR="00A50FC1" w:rsidRDefault="00A50FC1" w:rsidP="00A50FC1">
            <w:pPr>
              <w:pStyle w:val="Agreement"/>
              <w:numPr>
                <w:ilvl w:val="0"/>
                <w:numId w:val="51"/>
              </w:numPr>
              <w:tabs>
                <w:tab w:val="clear" w:pos="360"/>
                <w:tab w:val="num" w:pos="1619"/>
              </w:tabs>
              <w:ind w:left="1619"/>
              <w:rPr>
                <w:b w:val="0"/>
                <w:lang w:val="en-US"/>
              </w:rPr>
            </w:pPr>
            <w:r>
              <w:rPr>
                <w:b w:val="0"/>
                <w:lang w:val="en-US"/>
              </w:rPr>
              <w:lastRenderedPageBreak/>
              <w:t xml:space="preserve">Methods for </w:t>
            </w:r>
            <w:proofErr w:type="spellStart"/>
            <w:r>
              <w:rPr>
                <w:b w:val="0"/>
                <w:lang w:val="en-US"/>
              </w:rPr>
              <w:t>eNB</w:t>
            </w:r>
            <w:proofErr w:type="spellEnd"/>
            <w:r>
              <w:rPr>
                <w:b w:val="0"/>
                <w:lang w:val="en-US"/>
              </w:rPr>
              <w:t xml:space="preserve"> to obtain information used to help configuring the dedicated preconfigured uplink resource to the UE is FFS.</w:t>
            </w:r>
          </w:p>
          <w:p w14:paraId="0EC5FF69" w14:textId="2730EE98" w:rsidR="00A50FC1" w:rsidRPr="00DA70E0" w:rsidRDefault="00A50FC1" w:rsidP="00DA70E0">
            <w:pPr>
              <w:pStyle w:val="Agreement"/>
              <w:numPr>
                <w:ilvl w:val="0"/>
                <w:numId w:val="51"/>
              </w:numPr>
              <w:tabs>
                <w:tab w:val="clear" w:pos="360"/>
                <w:tab w:val="num" w:pos="1619"/>
              </w:tabs>
              <w:ind w:left="1619"/>
            </w:pPr>
            <w:r>
              <w:rPr>
                <w:b w:val="0"/>
              </w:rPr>
              <w:t>Release of the dedicated preconfigured resources are supported, details for NW triggered and UE triggered are FFS.</w:t>
            </w:r>
          </w:p>
        </w:tc>
      </w:tr>
    </w:tbl>
    <w:p w14:paraId="5C76F6B1" w14:textId="77777777" w:rsidR="00A50FC1" w:rsidRDefault="00A50FC1" w:rsidP="00804C66"/>
    <w:p w14:paraId="326D3005" w14:textId="7A117188" w:rsidR="00B575A0" w:rsidRDefault="00B575A0" w:rsidP="00804C66">
      <w:r>
        <w:t>In RAN2#105, RAN2 agreed the following</w:t>
      </w:r>
    </w:p>
    <w:tbl>
      <w:tblPr>
        <w:tblStyle w:val="TableGrid"/>
        <w:tblW w:w="0" w:type="auto"/>
        <w:tblLook w:val="04A0" w:firstRow="1" w:lastRow="0" w:firstColumn="1" w:lastColumn="0" w:noHBand="0" w:noVBand="1"/>
      </w:tblPr>
      <w:tblGrid>
        <w:gridCol w:w="9350"/>
      </w:tblGrid>
      <w:tr w:rsidR="00B575A0" w14:paraId="2F980361" w14:textId="77777777" w:rsidTr="00C10C6B">
        <w:tc>
          <w:tcPr>
            <w:tcW w:w="9350" w:type="dxa"/>
          </w:tcPr>
          <w:p w14:paraId="2DD63EDA" w14:textId="275DA96D" w:rsidR="00B575A0" w:rsidRDefault="00B575A0" w:rsidP="00B575A0">
            <w:pPr>
              <w:pStyle w:val="Agreement"/>
              <w:rPr>
                <w:b w:val="0"/>
                <w:lang w:val="en-US"/>
              </w:rPr>
            </w:pPr>
            <w:r w:rsidRPr="00B575A0">
              <w:rPr>
                <w:b w:val="0"/>
                <w:lang w:val="en-US"/>
              </w:rPr>
              <w:t xml:space="preserve">The </w:t>
            </w:r>
            <w:proofErr w:type="spellStart"/>
            <w:r w:rsidRPr="00B575A0">
              <w:rPr>
                <w:b w:val="0"/>
                <w:lang w:val="en-US"/>
              </w:rPr>
              <w:t>eNB</w:t>
            </w:r>
            <w:proofErr w:type="spellEnd"/>
            <w:r w:rsidRPr="00B575A0">
              <w:rPr>
                <w:b w:val="0"/>
                <w:lang w:val="en-US"/>
              </w:rPr>
              <w:t xml:space="preserve"> can (re)configure and release D-PUR by dedicated RRC </w:t>
            </w:r>
            <w:r>
              <w:rPr>
                <w:b w:val="0"/>
                <w:lang w:val="en-US"/>
              </w:rPr>
              <w:t>signaling</w:t>
            </w:r>
          </w:p>
          <w:p w14:paraId="1772F119" w14:textId="79EDAB6C" w:rsidR="00B575A0" w:rsidRPr="00B575A0" w:rsidRDefault="00B575A0" w:rsidP="00B575A0">
            <w:pPr>
              <w:pStyle w:val="Doc-text2"/>
              <w:rPr>
                <w:lang w:val="en-US"/>
              </w:rPr>
            </w:pPr>
          </w:p>
        </w:tc>
      </w:tr>
    </w:tbl>
    <w:p w14:paraId="0A3D6D7D" w14:textId="77777777" w:rsidR="00B575A0" w:rsidRDefault="00B575A0" w:rsidP="00804C66"/>
    <w:p w14:paraId="768AC3FF" w14:textId="10619339" w:rsidR="004B2CF8" w:rsidRDefault="004B2CF8" w:rsidP="004B2CF8">
      <w:r>
        <w:t>In legacy LTE, for UEs in connected mode, SPS is an example of preconfigured resources</w:t>
      </w:r>
      <w:r w:rsidR="0025745E">
        <w:t xml:space="preserve"> for UL</w:t>
      </w:r>
      <w:r>
        <w:t xml:space="preserve">. However, for </w:t>
      </w:r>
      <w:r w:rsidR="0025745E">
        <w:t>use</w:t>
      </w:r>
      <w:r>
        <w:t xml:space="preserve"> no such </w:t>
      </w:r>
      <w:proofErr w:type="spellStart"/>
      <w:r w:rsidR="00521015">
        <w:t>p</w:t>
      </w:r>
      <w:r>
        <w:t>reconfiguration</w:t>
      </w:r>
      <w:proofErr w:type="spellEnd"/>
      <w:r>
        <w:t xml:space="preserve"> mechanism exists</w:t>
      </w:r>
      <w:r w:rsidR="0025745E">
        <w:t xml:space="preserve"> for configuring UL resources to be used in IDLE mode</w:t>
      </w:r>
      <w:r>
        <w:t xml:space="preserve">. </w:t>
      </w:r>
    </w:p>
    <w:p w14:paraId="11602765" w14:textId="56441712" w:rsidR="00207895" w:rsidRPr="00207895" w:rsidRDefault="00847F1E" w:rsidP="00207895">
      <w:pPr>
        <w:pStyle w:val="Observation"/>
      </w:pPr>
      <w:bookmarkStart w:id="4" w:name="_Toc525764731"/>
      <w:bookmarkStart w:id="5" w:name="_Toc525844869"/>
      <w:bookmarkStart w:id="6" w:name="_Toc525845269"/>
      <w:bookmarkStart w:id="7" w:name="_Toc528843124"/>
      <w:bookmarkStart w:id="8" w:name="_Toc528843679"/>
      <w:bookmarkStart w:id="9" w:name="_Toc528845555"/>
      <w:bookmarkStart w:id="10" w:name="_Toc528851366"/>
      <w:bookmarkStart w:id="11" w:name="_Toc1049704"/>
      <w:bookmarkStart w:id="12" w:name="_Toc1068510"/>
      <w:bookmarkStart w:id="13" w:name="_Toc1071189"/>
      <w:bookmarkStart w:id="14" w:name="_Toc1071924"/>
      <w:bookmarkStart w:id="15" w:name="_Toc1071989"/>
      <w:bookmarkStart w:id="16" w:name="_Toc4504278"/>
      <w:bookmarkStart w:id="17" w:name="_Toc4504446"/>
      <w:bookmarkStart w:id="18" w:name="_Toc4685706"/>
      <w:r>
        <w:t xml:space="preserve">No </w:t>
      </w:r>
      <w:proofErr w:type="spellStart"/>
      <w:r>
        <w:t>preconfiguration</w:t>
      </w:r>
      <w:proofErr w:type="spellEnd"/>
      <w:r>
        <w:t xml:space="preserve"> mechanism currently exists for </w:t>
      </w:r>
      <w:r w:rsidR="0025745E">
        <w:t xml:space="preserve">configuring UL resources </w:t>
      </w:r>
      <w:r w:rsidR="005E047A">
        <w:t>for use</w:t>
      </w:r>
      <w:r w:rsidR="0025745E">
        <w:t xml:space="preserve"> in </w:t>
      </w:r>
      <w:r>
        <w:t>IDLE mode.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0A0C72" w14:textId="3CB8CB52" w:rsidR="00207895" w:rsidRDefault="00207895" w:rsidP="00207895">
      <w:bookmarkStart w:id="19" w:name="_Toc525764732"/>
      <w:bookmarkStart w:id="20" w:name="_Toc525844870"/>
      <w:bookmarkStart w:id="21" w:name="_Toc525845270"/>
      <w:bookmarkStart w:id="22" w:name="_Toc528843125"/>
      <w:bookmarkStart w:id="23" w:name="_Toc528843680"/>
      <w:bookmarkStart w:id="24" w:name="_Toc528845556"/>
      <w:bookmarkStart w:id="25" w:name="_Toc528851367"/>
      <w:bookmarkStart w:id="26" w:name="_Toc1049705"/>
      <w:bookmarkStart w:id="27" w:name="_Toc1068511"/>
      <w:bookmarkStart w:id="28" w:name="_Toc1071190"/>
      <w:bookmarkStart w:id="29" w:name="_Toc1071925"/>
      <w:bookmarkStart w:id="30" w:name="_Toc1071990"/>
      <w:r>
        <w:t>As captured in RAN1 agreements, the resource configuration assigned to the UE includes at least the time domain resources including periodicity(s), frequency domain resources, TBS(s)/MCS(s). Further, the resources may include time duration, UE-specific DMRS sequence, etc. The exact details of such resource allocation may be discussed later, which may be based on further RAN1 agreements.</w:t>
      </w:r>
      <w:r w:rsidRPr="00207895" w:rsidDel="008245FA">
        <w:t xml:space="preserve"> </w:t>
      </w:r>
      <w:r w:rsidDel="008245FA">
        <w:t>RAN2 should discuss which messages/step this configuration should be provided in.</w:t>
      </w:r>
    </w:p>
    <w:p w14:paraId="02533A18" w14:textId="5398A07A" w:rsidR="00847F1E" w:rsidRDefault="00847F1E" w:rsidP="00847F1E">
      <w:pPr>
        <w:pStyle w:val="Observation"/>
      </w:pPr>
      <w:bookmarkStart w:id="31" w:name="_Toc4504279"/>
      <w:bookmarkStart w:id="32" w:name="_Toc4504447"/>
      <w:bookmarkStart w:id="33" w:name="_Toc4685707"/>
      <w:r>
        <w:t>RAN2 needs to study mechanisms to preconfigure</w:t>
      </w:r>
      <w:r w:rsidR="008A3AE5">
        <w:t>/reconfigure</w:t>
      </w:r>
      <w:r>
        <w:t xml:space="preserve"> UL resources for use in IDLE mode.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CDFB9E" w14:textId="5DD3546E" w:rsidR="00393238" w:rsidRPr="00BF1E3B" w:rsidRDefault="00393238" w:rsidP="004C7FFD">
      <w:r>
        <w:t xml:space="preserve">Naturally, </w:t>
      </w:r>
      <w:r w:rsidR="00691848">
        <w:t xml:space="preserve">both </w:t>
      </w:r>
      <w:r>
        <w:t>dedicated and broadcast</w:t>
      </w:r>
      <w:r w:rsidR="00991557">
        <w:t>-</w:t>
      </w:r>
      <w:r>
        <w:t xml:space="preserve">based </w:t>
      </w:r>
      <w:proofErr w:type="spellStart"/>
      <w:r>
        <w:t>preconfiguration</w:t>
      </w:r>
      <w:proofErr w:type="spellEnd"/>
      <w:r>
        <w:t xml:space="preserve"> </w:t>
      </w:r>
      <w:r w:rsidR="00691848">
        <w:t xml:space="preserve">signalling </w:t>
      </w:r>
      <w:r>
        <w:t>are possible</w:t>
      </w:r>
      <w:r w:rsidR="00BF1E3B">
        <w:t xml:space="preserve"> options.</w:t>
      </w:r>
      <w:r>
        <w:t xml:space="preserve"> </w:t>
      </w:r>
      <w:r w:rsidR="001E2B8D">
        <w:t>They are discussed in the following sections separately.</w:t>
      </w:r>
    </w:p>
    <w:p w14:paraId="087592D6" w14:textId="06BF2701" w:rsidR="00302777" w:rsidRDefault="00960B2F" w:rsidP="001F72DD">
      <w:pPr>
        <w:pStyle w:val="Heading1"/>
      </w:pPr>
      <w:r>
        <w:t>RRC</w:t>
      </w:r>
      <w:r w:rsidR="006C7BD0">
        <w:t>-</w:t>
      </w:r>
      <w:r>
        <w:t>configured resources</w:t>
      </w:r>
    </w:p>
    <w:p w14:paraId="46215ABE" w14:textId="5F52D70A" w:rsidR="00EA4248" w:rsidRDefault="00EA4248" w:rsidP="00302777">
      <w:r>
        <w:t>As indicated above</w:t>
      </w:r>
      <w:r w:rsidR="00B70ADF">
        <w:t xml:space="preserve"> in section 2</w:t>
      </w:r>
      <w:r>
        <w:t xml:space="preserve">, RAN1 </w:t>
      </w:r>
      <w:r w:rsidR="00B575A0">
        <w:t xml:space="preserve">and RAN2 </w:t>
      </w:r>
      <w:r>
        <w:t xml:space="preserve">has already agreed that </w:t>
      </w:r>
      <w:r w:rsidRPr="00EA4248">
        <w:t xml:space="preserve">RRC </w:t>
      </w:r>
      <w:r w:rsidR="0025745E" w:rsidRPr="00EA4248">
        <w:t>signalling</w:t>
      </w:r>
      <w:r w:rsidR="00B575A0">
        <w:t xml:space="preserve"> is used to (re)configure and release PUR</w:t>
      </w:r>
      <w:r w:rsidRPr="00EA4248">
        <w:t xml:space="preserve">. </w:t>
      </w:r>
      <w:r w:rsidR="00421802">
        <w:t>However, details are not agreed yet.</w:t>
      </w:r>
      <w:r w:rsidR="00727C35">
        <w:t xml:space="preserve"> In most cases, the RAN2 design for D-PUR and CFS PUR would be very similar if not same, as the main distinction is on PHY procedures. Hence, in the following, we present the discussion on UE-specific PUR – which can be applicable for both D-PUR and CFS PUR, unless specifically stated otherwise.</w:t>
      </w:r>
    </w:p>
    <w:p w14:paraId="76FE7CDE" w14:textId="2C9E35BF" w:rsidR="0031174D" w:rsidRDefault="0031174D" w:rsidP="0031174D">
      <w:pPr>
        <w:pStyle w:val="Heading2"/>
        <w:ind w:left="576"/>
      </w:pPr>
      <w:r>
        <w:t>(Re)configuration of UE-specific PUR</w:t>
      </w:r>
    </w:p>
    <w:p w14:paraId="316D2250" w14:textId="633A98BB" w:rsidR="00EA6ACF" w:rsidRDefault="00BC414B" w:rsidP="00EA6ACF">
      <w:r>
        <w:t xml:space="preserve">It should be straightforward that UE-specific PUR configuration by RRC may be provided while UE is in RRC_CONNECTED. </w:t>
      </w:r>
      <w:r w:rsidR="00EA6ACF">
        <w:t xml:space="preserve">One of the options for indicating such resources while the UE is in CONNECTED is in RRC connection release message </w:t>
      </w:r>
      <w:r w:rsidR="00511C58">
        <w:t>of</w:t>
      </w:r>
      <w:r w:rsidR="00EA6ACF">
        <w:t xml:space="preserve"> the previous connection. </w:t>
      </w:r>
    </w:p>
    <w:p w14:paraId="0F0D1DC6" w14:textId="0D45A925" w:rsidR="00BC414B" w:rsidRDefault="00EA6ACF" w:rsidP="00302777">
      <w:r>
        <w:t>I</w:t>
      </w:r>
      <w:r w:rsidR="00BC414B">
        <w:t>t should also be possible to provide such configuration while UE is in IDLE.</w:t>
      </w:r>
      <w:r w:rsidR="00214BB8">
        <w:t xml:space="preserve"> The scenarios are when the UE is EDT capable </w:t>
      </w:r>
      <w:r w:rsidR="00CD08B8">
        <w:t>and</w:t>
      </w:r>
      <w:r w:rsidR="00214BB8">
        <w:t xml:space="preserve"> is</w:t>
      </w:r>
      <w:r w:rsidR="00CD08B8">
        <w:t xml:space="preserve"> in</w:t>
      </w:r>
      <w:r w:rsidR="00214BB8">
        <w:t xml:space="preserve"> IDLE mode, it should be possible to request PUR and get PUR configuration. Additionally, the UE may have an existing PUR configuration, and be in IDLE mode. The UE may use the PUR to request (re)configuration of PUR. </w:t>
      </w:r>
    </w:p>
    <w:p w14:paraId="10712C2A" w14:textId="0176DD83" w:rsidR="00CA0C96" w:rsidRDefault="00421802" w:rsidP="00074AD2">
      <w:pPr>
        <w:pStyle w:val="Proposal"/>
      </w:pPr>
      <w:bookmarkStart w:id="34" w:name="_Toc525764735"/>
      <w:bookmarkStart w:id="35" w:name="_Toc525822819"/>
      <w:bookmarkStart w:id="36" w:name="_Toc525844873"/>
      <w:bookmarkStart w:id="37" w:name="_Toc525844900"/>
      <w:bookmarkStart w:id="38" w:name="_Toc525844968"/>
      <w:bookmarkStart w:id="39" w:name="_Toc525844984"/>
      <w:bookmarkStart w:id="40" w:name="_Toc525845002"/>
      <w:bookmarkStart w:id="41" w:name="_Toc525845017"/>
      <w:bookmarkStart w:id="42" w:name="_Toc528843130"/>
      <w:bookmarkStart w:id="43" w:name="_Toc528843685"/>
      <w:bookmarkStart w:id="44" w:name="_Toc528843968"/>
      <w:bookmarkStart w:id="45" w:name="_Toc528844045"/>
      <w:bookmarkStart w:id="46" w:name="_Toc528845562"/>
      <w:bookmarkStart w:id="47" w:name="_Toc528851372"/>
      <w:bookmarkStart w:id="48" w:name="_Toc528851607"/>
      <w:bookmarkStart w:id="49" w:name="_Toc528868441"/>
      <w:bookmarkStart w:id="50" w:name="_Toc1049711"/>
      <w:bookmarkStart w:id="51" w:name="_Toc1068498"/>
      <w:bookmarkStart w:id="52" w:name="_Toc1068517"/>
      <w:bookmarkStart w:id="53" w:name="_Toc1071197"/>
      <w:bookmarkStart w:id="54" w:name="_Toc1071932"/>
      <w:bookmarkStart w:id="55" w:name="_Toc1071976"/>
      <w:bookmarkStart w:id="56" w:name="_Toc1074003"/>
      <w:bookmarkStart w:id="57" w:name="_Toc4504281"/>
      <w:bookmarkStart w:id="58" w:name="_Toc4504363"/>
      <w:bookmarkStart w:id="59" w:name="_Toc4504402"/>
      <w:bookmarkStart w:id="60" w:name="_Toc4685763"/>
      <w:r>
        <w:t>(Re)c</w:t>
      </w:r>
      <w:r w:rsidR="003B25B7">
        <w:t>onfiguration of PUR</w:t>
      </w:r>
      <w:r w:rsidR="001E73B8" w:rsidRPr="00EA4248">
        <w:t xml:space="preserve"> </w:t>
      </w:r>
      <w:r w:rsidR="00BC414B">
        <w:t xml:space="preserve">by </w:t>
      </w:r>
      <w:r w:rsidR="00511C58">
        <w:t xml:space="preserve">dedicated </w:t>
      </w:r>
      <w:r w:rsidR="00BC414B">
        <w:t xml:space="preserve">RRC </w:t>
      </w:r>
      <w:r w:rsidR="00053839">
        <w:t>signalling</w:t>
      </w:r>
      <w:r w:rsidR="000D4B2F">
        <w:t xml:space="preserve"> </w:t>
      </w:r>
      <w:r w:rsidR="00BC414B">
        <w:t xml:space="preserve">is supported for both cases: </w:t>
      </w:r>
      <w:r w:rsidR="00CA0C96">
        <w:t xml:space="preserve">while the UE </w:t>
      </w:r>
      <w:r w:rsidR="000210FF">
        <w:t>is in RRC_CONNECTED</w:t>
      </w:r>
      <w:r w:rsidR="00BC414B">
        <w:t xml:space="preserve"> and while the UE is in RRC_IDLE</w:t>
      </w:r>
      <w:r w:rsidR="000210FF">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0210FF">
        <w:t xml:space="preserve"> </w:t>
      </w:r>
    </w:p>
    <w:p w14:paraId="4A031F0E" w14:textId="1B359BF6" w:rsidR="001E5749" w:rsidRDefault="001E5749" w:rsidP="00074AD2">
      <w:pPr>
        <w:pStyle w:val="Proposal"/>
      </w:pPr>
      <w:bookmarkStart w:id="61" w:name="_Toc1049712"/>
      <w:bookmarkStart w:id="62" w:name="_Toc1068499"/>
      <w:bookmarkStart w:id="63" w:name="_Toc1068518"/>
      <w:bookmarkStart w:id="64" w:name="_Toc1071198"/>
      <w:bookmarkStart w:id="65" w:name="_Toc1071933"/>
      <w:bookmarkStart w:id="66" w:name="_Toc1071977"/>
      <w:bookmarkStart w:id="67" w:name="_Toc1074004"/>
      <w:bookmarkStart w:id="68" w:name="_Toc4504282"/>
      <w:bookmarkStart w:id="69" w:name="_Toc4504364"/>
      <w:bookmarkStart w:id="70" w:name="_Toc4504403"/>
      <w:bookmarkStart w:id="71" w:name="_Toc4685764"/>
      <w:r>
        <w:lastRenderedPageBreak/>
        <w:t>PUR Configuration in RRC Connection Release message is supported.</w:t>
      </w:r>
      <w:bookmarkEnd w:id="61"/>
      <w:bookmarkEnd w:id="62"/>
      <w:bookmarkEnd w:id="63"/>
      <w:bookmarkEnd w:id="64"/>
      <w:bookmarkEnd w:id="65"/>
      <w:bookmarkEnd w:id="66"/>
      <w:bookmarkEnd w:id="67"/>
      <w:bookmarkEnd w:id="68"/>
      <w:bookmarkEnd w:id="69"/>
      <w:bookmarkEnd w:id="70"/>
      <w:bookmarkEnd w:id="71"/>
    </w:p>
    <w:p w14:paraId="72ACEE3A" w14:textId="144C1DE1" w:rsidR="001E5749" w:rsidRDefault="001E5749" w:rsidP="00074AD2">
      <w:pPr>
        <w:pStyle w:val="Proposal"/>
      </w:pPr>
      <w:bookmarkStart w:id="72" w:name="_Toc1049713"/>
      <w:bookmarkStart w:id="73" w:name="_Toc1068500"/>
      <w:bookmarkStart w:id="74" w:name="_Toc1068519"/>
      <w:bookmarkStart w:id="75" w:name="_Toc1071199"/>
      <w:bookmarkStart w:id="76" w:name="_Toc1071934"/>
      <w:bookmarkStart w:id="77" w:name="_Toc1071978"/>
      <w:bookmarkStart w:id="78" w:name="_Toc1074005"/>
      <w:bookmarkStart w:id="79" w:name="_Toc4504283"/>
      <w:bookmarkStart w:id="80" w:name="_Toc4504365"/>
      <w:bookmarkStart w:id="81" w:name="_Toc4504404"/>
      <w:bookmarkStart w:id="82" w:name="_Toc4685765"/>
      <w:r>
        <w:t>PUR (re)configuration using EDT is supported.</w:t>
      </w:r>
      <w:bookmarkEnd w:id="72"/>
      <w:bookmarkEnd w:id="73"/>
      <w:bookmarkEnd w:id="74"/>
      <w:bookmarkEnd w:id="75"/>
      <w:bookmarkEnd w:id="76"/>
      <w:bookmarkEnd w:id="77"/>
      <w:bookmarkEnd w:id="78"/>
      <w:bookmarkEnd w:id="79"/>
      <w:bookmarkEnd w:id="80"/>
      <w:bookmarkEnd w:id="81"/>
      <w:bookmarkEnd w:id="82"/>
    </w:p>
    <w:p w14:paraId="472302E6" w14:textId="6183EF9E" w:rsidR="001E5749" w:rsidRDefault="001E5749" w:rsidP="00074AD2">
      <w:pPr>
        <w:pStyle w:val="Proposal"/>
      </w:pPr>
      <w:bookmarkStart w:id="83" w:name="_Toc1049714"/>
      <w:bookmarkStart w:id="84" w:name="_Toc1068501"/>
      <w:bookmarkStart w:id="85" w:name="_Toc1068520"/>
      <w:bookmarkStart w:id="86" w:name="_Toc1071200"/>
      <w:bookmarkStart w:id="87" w:name="_Toc1071935"/>
      <w:bookmarkStart w:id="88" w:name="_Toc1071979"/>
      <w:bookmarkStart w:id="89" w:name="_Toc1074006"/>
      <w:bookmarkStart w:id="90" w:name="_Toc4504284"/>
      <w:bookmarkStart w:id="91" w:name="_Toc4504366"/>
      <w:bookmarkStart w:id="92" w:name="_Toc4504405"/>
      <w:bookmarkStart w:id="93" w:name="_Toc4685766"/>
      <w:r>
        <w:t>PUR (re)configuration using PUR is supported.</w:t>
      </w:r>
      <w:bookmarkEnd w:id="83"/>
      <w:bookmarkEnd w:id="84"/>
      <w:bookmarkEnd w:id="85"/>
      <w:bookmarkEnd w:id="86"/>
      <w:bookmarkEnd w:id="87"/>
      <w:bookmarkEnd w:id="88"/>
      <w:bookmarkEnd w:id="89"/>
      <w:bookmarkEnd w:id="90"/>
      <w:bookmarkEnd w:id="91"/>
      <w:bookmarkEnd w:id="92"/>
      <w:bookmarkEnd w:id="93"/>
    </w:p>
    <w:p w14:paraId="54337DAB" w14:textId="04761F04" w:rsidR="0031174D" w:rsidRDefault="0031174D" w:rsidP="00152DE4">
      <w:pPr>
        <w:pStyle w:val="Heading2"/>
        <w:ind w:left="576"/>
      </w:pPr>
      <w:r>
        <w:t>Reliability of (re)configuration</w:t>
      </w:r>
    </w:p>
    <w:p w14:paraId="67625B0A" w14:textId="341EE27E" w:rsidR="00AE4FF3" w:rsidRDefault="007B753B" w:rsidP="00AE4FF3">
      <w:r>
        <w:t>It is essential for the network to have</w:t>
      </w:r>
      <w:r w:rsidR="00421802">
        <w:t xml:space="preserve"> </w:t>
      </w:r>
      <w:r w:rsidR="00AE4FF3">
        <w:t xml:space="preserve">reliable confirmation that UE has received the </w:t>
      </w:r>
      <w:r w:rsidR="00053839">
        <w:t xml:space="preserve">RRC </w:t>
      </w:r>
      <w:r w:rsidR="00AE4FF3">
        <w:t xml:space="preserve">message </w:t>
      </w:r>
      <w:r w:rsidR="002B5D53">
        <w:t>containing</w:t>
      </w:r>
      <w:r w:rsidR="00AE4FF3">
        <w:t xml:space="preserve"> the IDLE mode resource configuration. If the</w:t>
      </w:r>
      <w:r w:rsidR="000E3682">
        <w:t xml:space="preserve">re is issue with applying the configuration </w:t>
      </w:r>
      <w:r w:rsidR="00F7777C">
        <w:t xml:space="preserve">provided </w:t>
      </w:r>
      <w:r w:rsidR="000E3682">
        <w:t>in</w:t>
      </w:r>
      <w:r w:rsidR="00AE4FF3">
        <w:t xml:space="preserve"> </w:t>
      </w:r>
      <w:r w:rsidR="00053839">
        <w:t xml:space="preserve">the </w:t>
      </w:r>
      <w:r w:rsidR="00AE4FF3">
        <w:t>RRC message</w:t>
      </w:r>
      <w:r w:rsidR="00084DBD">
        <w:t xml:space="preserve"> (e.g., the RRC message could not be properly decoded although at PHY layer it was successfully received and </w:t>
      </w:r>
      <w:proofErr w:type="spellStart"/>
      <w:r w:rsidR="00084DBD">
        <w:t>ACKed</w:t>
      </w:r>
      <w:proofErr w:type="spellEnd"/>
      <w:r w:rsidR="00084DBD">
        <w:t>)</w:t>
      </w:r>
      <w:r w:rsidR="000E3682">
        <w:t>, the network may allocate the UL resources which the UE may not be able to use, resulting in resource wastage.</w:t>
      </w:r>
      <w:r w:rsidR="00C77EEE">
        <w:t xml:space="preserve"> Therefore</w:t>
      </w:r>
      <w:r w:rsidR="003B25B7">
        <w:t>,</w:t>
      </w:r>
      <w:r w:rsidR="00C77EEE">
        <w:t xml:space="preserve"> it is essential that UE confirms successful receipt of PUR with a UL message. </w:t>
      </w:r>
    </w:p>
    <w:p w14:paraId="74B65119" w14:textId="366182ED" w:rsidR="00A32A61" w:rsidRDefault="00A32A61" w:rsidP="00074AD2">
      <w:pPr>
        <w:pStyle w:val="Proposal"/>
      </w:pPr>
      <w:bookmarkStart w:id="94" w:name="_Toc4504285"/>
      <w:bookmarkStart w:id="95" w:name="_Toc4504286"/>
      <w:bookmarkStart w:id="96" w:name="_Toc1049716"/>
      <w:bookmarkStart w:id="97" w:name="_Toc1068503"/>
      <w:bookmarkStart w:id="98" w:name="_Toc1068522"/>
      <w:bookmarkStart w:id="99" w:name="_Toc1071202"/>
      <w:bookmarkStart w:id="100" w:name="_Toc1071937"/>
      <w:bookmarkStart w:id="101" w:name="_Toc1071981"/>
      <w:bookmarkStart w:id="102" w:name="_Toc1074008"/>
      <w:bookmarkStart w:id="103" w:name="_Toc4504287"/>
      <w:bookmarkStart w:id="104" w:name="_Toc4504368"/>
      <w:bookmarkStart w:id="105" w:name="_Toc4504407"/>
      <w:bookmarkStart w:id="106" w:name="_Toc4685767"/>
      <w:bookmarkEnd w:id="94"/>
      <w:bookmarkEnd w:id="95"/>
      <w:r>
        <w:t>For reliable (re)configuration of PUR,</w:t>
      </w:r>
      <w:r w:rsidR="00DF28BE">
        <w:t xml:space="preserve"> in response to PUR (re)config message,</w:t>
      </w:r>
      <w:r>
        <w:t xml:space="preserve"> UE sends PUR (re)config complete message.</w:t>
      </w:r>
      <w:bookmarkEnd w:id="96"/>
      <w:bookmarkEnd w:id="97"/>
      <w:bookmarkEnd w:id="98"/>
      <w:bookmarkEnd w:id="99"/>
      <w:bookmarkEnd w:id="100"/>
      <w:bookmarkEnd w:id="101"/>
      <w:bookmarkEnd w:id="102"/>
      <w:bookmarkEnd w:id="103"/>
      <w:bookmarkEnd w:id="104"/>
      <w:bookmarkEnd w:id="105"/>
      <w:bookmarkEnd w:id="106"/>
    </w:p>
    <w:p w14:paraId="44E8484E" w14:textId="20534EE4" w:rsidR="00A95CA9" w:rsidRDefault="003B25B7" w:rsidP="003B25B7">
      <w:r>
        <w:t>Based on the above discussion, s</w:t>
      </w:r>
      <w:r w:rsidR="00214BB8">
        <w:t>ome</w:t>
      </w:r>
      <w:r>
        <w:t xml:space="preserve"> call flow</w:t>
      </w:r>
      <w:r w:rsidR="00214BB8">
        <w:t>s</w:t>
      </w:r>
      <w:r>
        <w:t xml:space="preserve"> illustrating the steps </w:t>
      </w:r>
      <w:r w:rsidR="00214BB8">
        <w:t>are</w:t>
      </w:r>
      <w:r>
        <w:t xml:space="preserve"> shown below. </w:t>
      </w:r>
    </w:p>
    <w:p w14:paraId="4CD762FB" w14:textId="42BB2154" w:rsidR="00DC5CA1" w:rsidRDefault="00DC5CA1" w:rsidP="003B25B7">
      <w:r>
        <w:t>Preconditions:</w:t>
      </w:r>
    </w:p>
    <w:p w14:paraId="4800840A" w14:textId="3706385A" w:rsidR="00A95CA9" w:rsidRDefault="00A95CA9" w:rsidP="00511C58">
      <w:pPr>
        <w:pStyle w:val="ListParagraph"/>
        <w:numPr>
          <w:ilvl w:val="0"/>
          <w:numId w:val="47"/>
        </w:numPr>
      </w:pPr>
      <w:r>
        <w:t xml:space="preserve">The UE is </w:t>
      </w:r>
      <w:r w:rsidR="002C0424">
        <w:t>capable of PUR</w:t>
      </w:r>
      <w:r w:rsidR="00DC5CA1">
        <w:t xml:space="preserve"> and the network is indicating the support of PUR.</w:t>
      </w:r>
    </w:p>
    <w:p w14:paraId="69D707CF" w14:textId="6E813504" w:rsidR="00DC5CA1" w:rsidRDefault="00227DC5" w:rsidP="00DC5CA1">
      <w:pPr>
        <w:pStyle w:val="ListParagraph"/>
        <w:numPr>
          <w:ilvl w:val="0"/>
          <w:numId w:val="47"/>
        </w:numPr>
      </w:pPr>
      <w:r>
        <w:t>The UL resource used to send PUR request depending on the RRC state of the UE. If UE is in connected, t</w:t>
      </w:r>
      <w:r w:rsidR="00A95CA9">
        <w:t xml:space="preserve">he </w:t>
      </w:r>
      <w:r>
        <w:t>UL</w:t>
      </w:r>
      <w:r w:rsidR="00DC5CA1">
        <w:t xml:space="preserve"> grant may be</w:t>
      </w:r>
      <w:r w:rsidR="00DC5CA1" w:rsidRPr="0029154A">
        <w:t xml:space="preserve"> </w:t>
      </w:r>
      <w:r w:rsidR="00DC5CA1">
        <w:t xml:space="preserve">a </w:t>
      </w:r>
      <w:r w:rsidR="00DC5CA1" w:rsidRPr="0029154A">
        <w:t>dynamic UL grant,</w:t>
      </w:r>
      <w:r>
        <w:t xml:space="preserve"> or</w:t>
      </w:r>
      <w:r w:rsidR="00DC5CA1" w:rsidRPr="0029154A">
        <w:t xml:space="preserve"> </w:t>
      </w:r>
      <w:r>
        <w:t>a</w:t>
      </w:r>
      <w:r w:rsidR="00DC5CA1" w:rsidRPr="0029154A">
        <w:t xml:space="preserve"> preconfigured grant, e.g. SPS</w:t>
      </w:r>
      <w:r w:rsidR="00DC5CA1">
        <w:t>.</w:t>
      </w:r>
      <w:r>
        <w:t xml:space="preserve"> If the UE is in IDLE, the grant may be EDT grant or PUR.</w:t>
      </w:r>
    </w:p>
    <w:p w14:paraId="51D09420" w14:textId="73DFF27C" w:rsidR="00DC5CA1" w:rsidRDefault="00DC5CA1" w:rsidP="00511C58">
      <w:r>
        <w:t>Steps:</w:t>
      </w:r>
    </w:p>
    <w:p w14:paraId="59083F05" w14:textId="0310EB0B" w:rsidR="00DC5CA1" w:rsidRDefault="00DC5CA1" w:rsidP="00A95CA9">
      <w:pPr>
        <w:pStyle w:val="ListParagraph"/>
        <w:numPr>
          <w:ilvl w:val="0"/>
          <w:numId w:val="50"/>
        </w:numPr>
      </w:pPr>
      <w:r>
        <w:t xml:space="preserve">The UE sends a PUR request message. </w:t>
      </w:r>
      <w:r w:rsidR="003B25B7" w:rsidRPr="0029154A">
        <w:t xml:space="preserve">The PUR request message </w:t>
      </w:r>
      <w:r w:rsidR="003B25B7">
        <w:t>can</w:t>
      </w:r>
      <w:r w:rsidR="003B25B7" w:rsidRPr="0029154A">
        <w:t xml:space="preserve"> be </w:t>
      </w:r>
      <w:r w:rsidR="003B25B7">
        <w:t>requesting c</w:t>
      </w:r>
      <w:r w:rsidR="003B25B7" w:rsidRPr="0029154A">
        <w:t>onfiguration of new PUR</w:t>
      </w:r>
      <w:r w:rsidR="003B25B7">
        <w:t xml:space="preserve"> or requesting r</w:t>
      </w:r>
      <w:r w:rsidR="003B25B7" w:rsidRPr="0029154A">
        <w:t>econfiguration of already existing PUR configuration</w:t>
      </w:r>
      <w:r w:rsidR="003B25B7">
        <w:t xml:space="preserve">. </w:t>
      </w:r>
    </w:p>
    <w:p w14:paraId="390CCFDC" w14:textId="4272DB2C" w:rsidR="003B25B7" w:rsidRDefault="003B25B7" w:rsidP="00A95CA9">
      <w:pPr>
        <w:pStyle w:val="ListParagraph"/>
        <w:numPr>
          <w:ilvl w:val="0"/>
          <w:numId w:val="50"/>
        </w:numPr>
      </w:pPr>
      <w:r>
        <w:t xml:space="preserve">The </w:t>
      </w:r>
      <w:proofErr w:type="spellStart"/>
      <w:r>
        <w:t>eNB</w:t>
      </w:r>
      <w:proofErr w:type="spellEnd"/>
      <w:r>
        <w:t xml:space="preserve"> </w:t>
      </w:r>
      <w:r w:rsidRPr="0029154A">
        <w:t>sends confirma</w:t>
      </w:r>
      <w:r w:rsidR="00DC5CA1">
        <w:t>tion</w:t>
      </w:r>
      <w:r w:rsidR="00A95CA9">
        <w:t xml:space="preserve"> message</w:t>
      </w:r>
      <w:r>
        <w:t xml:space="preserve"> accordingly, i.e., with a</w:t>
      </w:r>
      <w:r w:rsidRPr="0029154A">
        <w:t xml:space="preserve"> new PUR configuration, or</w:t>
      </w:r>
      <w:r>
        <w:t xml:space="preserve"> a </w:t>
      </w:r>
      <w:r w:rsidRPr="0029154A">
        <w:t>PUR Reconfiguration.</w:t>
      </w:r>
      <w:r w:rsidR="00F77EFF">
        <w:t xml:space="preserve"> Note that the provided (re)configuration may not be exactly as requested in step 1, depending on the network conditions.</w:t>
      </w:r>
    </w:p>
    <w:p w14:paraId="6A22F8E3" w14:textId="62366285" w:rsidR="00DC5CA1" w:rsidRDefault="00DC5CA1" w:rsidP="00511C58">
      <w:pPr>
        <w:pStyle w:val="ListParagraph"/>
        <w:numPr>
          <w:ilvl w:val="0"/>
          <w:numId w:val="50"/>
        </w:numPr>
      </w:pPr>
      <w:r>
        <w:t>The UE sends an UL message confirming that the PUR (re)configuration is successful.</w:t>
      </w:r>
    </w:p>
    <w:p w14:paraId="58477253" w14:textId="522D930A" w:rsidR="00E16DB7" w:rsidRDefault="0094535F" w:rsidP="00511C58">
      <w:pPr>
        <w:keepNext/>
        <w:jc w:val="center"/>
      </w:pPr>
      <w:r w:rsidRPr="0029154A">
        <w:rPr>
          <w:lang w:val="en-US"/>
        </w:rPr>
        <w:object w:dxaOrig="5520" w:dyaOrig="3270" w14:anchorId="64EED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96pt" o:ole="">
            <v:imagedata r:id="rId14" o:title=""/>
          </v:shape>
          <o:OLEObject Type="Embed" ProgID="Mscgen.Chart" ShapeID="_x0000_i1025" DrawAspect="Content" ObjectID="_1615298582" r:id="rId15"/>
        </w:object>
      </w:r>
      <w:r>
        <w:rPr>
          <w:lang w:val="en-US"/>
        </w:rPr>
        <w:t xml:space="preserve"> </w:t>
      </w:r>
      <w:r w:rsidR="00E665CE">
        <w:t xml:space="preserve"> </w:t>
      </w:r>
      <w:r w:rsidRPr="00E665CE">
        <w:rPr>
          <w:lang w:val="en-US"/>
        </w:rPr>
        <w:object w:dxaOrig="5355" w:dyaOrig="3525" w14:anchorId="7A1BC941">
          <v:shape id="_x0000_i1026" type="#_x0000_t75" style="width:139.5pt;height:91.5pt" o:ole="">
            <v:imagedata r:id="rId16" o:title=""/>
          </v:shape>
          <o:OLEObject Type="Embed" ProgID="Mscgen.Chart" ShapeID="_x0000_i1026" DrawAspect="Content" ObjectID="_1615298583" r:id="rId17"/>
        </w:object>
      </w:r>
      <w:r w:rsidR="003F52AB">
        <w:t xml:space="preserve"> </w:t>
      </w:r>
      <w:r>
        <w:t xml:space="preserve"> </w:t>
      </w:r>
      <w:r w:rsidRPr="00E665CE">
        <w:rPr>
          <w:lang w:val="en-US"/>
        </w:rPr>
        <w:object w:dxaOrig="5130" w:dyaOrig="3270" w14:anchorId="3FF211CE">
          <v:shape id="_x0000_i1027" type="#_x0000_t75" style="width:150pt;height:96pt" o:ole="">
            <v:imagedata r:id="rId18" o:title=""/>
          </v:shape>
          <o:OLEObject Type="Embed" ProgID="Mscgen.Chart" ShapeID="_x0000_i1027" DrawAspect="Content" ObjectID="_1615298584" r:id="rId19"/>
        </w:object>
      </w:r>
      <w:r w:rsidR="00E665CE">
        <w:t xml:space="preserve"> </w:t>
      </w:r>
    </w:p>
    <w:p w14:paraId="3B8F0057" w14:textId="4F09C211" w:rsidR="003B25B7" w:rsidRDefault="00E16DB7" w:rsidP="00511C58">
      <w:pPr>
        <w:pStyle w:val="Caption"/>
        <w:jc w:val="center"/>
      </w:pPr>
      <w:r>
        <w:t xml:space="preserve">Figure </w:t>
      </w:r>
      <w:r>
        <w:fldChar w:fldCharType="begin"/>
      </w:r>
      <w:r>
        <w:instrText xml:space="preserve"> SEQ Figure \* ARABIC </w:instrText>
      </w:r>
      <w:r>
        <w:fldChar w:fldCharType="separate"/>
      </w:r>
      <w:r w:rsidR="009000A3">
        <w:rPr>
          <w:noProof/>
        </w:rPr>
        <w:t>1</w:t>
      </w:r>
      <w:r>
        <w:fldChar w:fldCharType="end"/>
      </w:r>
      <w:r>
        <w:t xml:space="preserve"> PUR (re)configuration</w:t>
      </w:r>
      <w:r w:rsidR="009000A3">
        <w:t xml:space="preserve"> success</w:t>
      </w:r>
    </w:p>
    <w:p w14:paraId="3647DEC9" w14:textId="77777777" w:rsidR="00D67375" w:rsidRDefault="00D67375" w:rsidP="00F77EFF"/>
    <w:p w14:paraId="25F8BDD4" w14:textId="26E438D0" w:rsidR="00F77EFF" w:rsidRDefault="00F77EFF" w:rsidP="00F77EFF">
      <w:r>
        <w:t>In addition, email discussion [8] could not conclude on whether UE should be able to reject PUR configuration. In our view, the UE should be able to send a PUR config failure message, which may be because the UE does not think such configuration is useful for UE, or for other reasons it cannot apply the PUR. Note, this case is possible because the network is not required to provide the PUR according to the request in the previous steps</w:t>
      </w:r>
      <w:r w:rsidR="00083888">
        <w:t>, as agreed in RAN2#105</w:t>
      </w:r>
      <w:r>
        <w:t>.</w:t>
      </w:r>
    </w:p>
    <w:tbl>
      <w:tblPr>
        <w:tblStyle w:val="TableGrid"/>
        <w:tblW w:w="0" w:type="auto"/>
        <w:tblLook w:val="04A0" w:firstRow="1" w:lastRow="0" w:firstColumn="1" w:lastColumn="0" w:noHBand="0" w:noVBand="1"/>
      </w:tblPr>
      <w:tblGrid>
        <w:gridCol w:w="9350"/>
      </w:tblGrid>
      <w:tr w:rsidR="00083888" w14:paraId="12767F5E" w14:textId="77777777" w:rsidTr="00C10C6B">
        <w:tc>
          <w:tcPr>
            <w:tcW w:w="9350" w:type="dxa"/>
          </w:tcPr>
          <w:p w14:paraId="2373B18E" w14:textId="77777777" w:rsidR="00083888" w:rsidRPr="00083888" w:rsidRDefault="00083888" w:rsidP="00083888">
            <w:pPr>
              <w:pStyle w:val="Agreement"/>
              <w:rPr>
                <w:b w:val="0"/>
                <w:lang w:val="en-US"/>
              </w:rPr>
            </w:pPr>
            <w:r w:rsidRPr="00083888">
              <w:rPr>
                <w:b w:val="0"/>
                <w:lang w:val="en-US"/>
              </w:rPr>
              <w:t>Network makes the decision on the D-PUR configuration.</w:t>
            </w:r>
          </w:p>
          <w:p w14:paraId="27F58EDD" w14:textId="77777777" w:rsidR="00083888" w:rsidRPr="00B575A0" w:rsidRDefault="00083888" w:rsidP="00C10C6B">
            <w:pPr>
              <w:pStyle w:val="Doc-text2"/>
              <w:rPr>
                <w:lang w:val="en-US"/>
              </w:rPr>
            </w:pPr>
          </w:p>
        </w:tc>
      </w:tr>
    </w:tbl>
    <w:p w14:paraId="1C6451CA" w14:textId="77777777" w:rsidR="00083888" w:rsidRDefault="00083888" w:rsidP="00F77EFF"/>
    <w:p w14:paraId="08891E5E" w14:textId="5AF0CBCC" w:rsidR="003F52AB" w:rsidRDefault="00D854B7" w:rsidP="003F52AB">
      <w:pPr>
        <w:keepNext/>
        <w:jc w:val="center"/>
      </w:pPr>
      <w:r w:rsidRPr="0029154A">
        <w:rPr>
          <w:lang w:val="en-US"/>
        </w:rPr>
        <w:object w:dxaOrig="5310" w:dyaOrig="3270" w14:anchorId="198532C0">
          <v:shape id="_x0000_i1028" type="#_x0000_t75" style="width:150pt;height:92.25pt" o:ole="">
            <v:imagedata r:id="rId20" o:title=""/>
          </v:shape>
          <o:OLEObject Type="Embed" ProgID="Mscgen.Chart" ShapeID="_x0000_i1028" DrawAspect="Content" ObjectID="_1615298585" r:id="rId21"/>
        </w:object>
      </w:r>
      <w:r w:rsidR="003F52AB">
        <w:t xml:space="preserve"> </w:t>
      </w:r>
      <w:r>
        <w:t xml:space="preserve">  </w:t>
      </w:r>
      <w:r w:rsidRPr="00E665CE">
        <w:rPr>
          <w:lang w:val="en-US"/>
        </w:rPr>
        <w:object w:dxaOrig="5160" w:dyaOrig="3525" w14:anchorId="4ED3EFB3">
          <v:shape id="_x0000_i1029" type="#_x0000_t75" style="width:136.5pt;height:93pt" o:ole="">
            <v:imagedata r:id="rId22" o:title=""/>
          </v:shape>
          <o:OLEObject Type="Embed" ProgID="Mscgen.Chart" ShapeID="_x0000_i1029" DrawAspect="Content" ObjectID="_1615298586" r:id="rId23"/>
        </w:object>
      </w:r>
      <w:r w:rsidR="003F52AB">
        <w:t xml:space="preserve"> </w:t>
      </w:r>
      <w:r>
        <w:t xml:space="preserve">  </w:t>
      </w:r>
      <w:r w:rsidRPr="00E665CE">
        <w:rPr>
          <w:lang w:val="en-US"/>
        </w:rPr>
        <w:object w:dxaOrig="4920" w:dyaOrig="3270" w14:anchorId="339F7CF2">
          <v:shape id="_x0000_i1030" type="#_x0000_t75" style="width:139.5pt;height:93pt" o:ole="">
            <v:imagedata r:id="rId24" o:title=""/>
          </v:shape>
          <o:OLEObject Type="Embed" ProgID="Mscgen.Chart" ShapeID="_x0000_i1030" DrawAspect="Content" ObjectID="_1615298587" r:id="rId25"/>
        </w:object>
      </w:r>
      <w:r w:rsidR="003F52AB">
        <w:t xml:space="preserve"> </w:t>
      </w:r>
    </w:p>
    <w:p w14:paraId="0C795E9A" w14:textId="2DAD5E0C" w:rsidR="00F77EFF" w:rsidRDefault="00F77EFF" w:rsidP="00F77EF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PUR (re)configuration failure</w:t>
      </w:r>
    </w:p>
    <w:p w14:paraId="1A7E1B9E" w14:textId="1F0E2009" w:rsidR="003B25B7" w:rsidRDefault="003D4280" w:rsidP="00534C21">
      <w:pPr>
        <w:pStyle w:val="Proposal"/>
      </w:pPr>
      <w:bookmarkStart w:id="107" w:name="_Toc4504288"/>
      <w:bookmarkStart w:id="108" w:name="_Toc4504369"/>
      <w:bookmarkStart w:id="109" w:name="_Toc4504408"/>
      <w:bookmarkStart w:id="110" w:name="_Toc4685768"/>
      <w:r>
        <w:t xml:space="preserve">In response to PUR (re)config message, the UE may send PUR (re)config failure message in case the UE cannot or doesn’t want to use the provided PUR </w:t>
      </w:r>
      <w:r w:rsidR="00083888">
        <w:t>(re)</w:t>
      </w:r>
      <w:r>
        <w:t>configuration.</w:t>
      </w:r>
      <w:bookmarkEnd w:id="107"/>
      <w:bookmarkEnd w:id="108"/>
      <w:bookmarkEnd w:id="109"/>
      <w:bookmarkEnd w:id="110"/>
      <w:r>
        <w:t xml:space="preserve"> </w:t>
      </w:r>
    </w:p>
    <w:p w14:paraId="0F0B5AE2" w14:textId="2916E08B" w:rsidR="009000A3" w:rsidRDefault="00F36EEE" w:rsidP="003B25B7">
      <w:r>
        <w:t>As network makes the final decision on PUR configuration, i</w:t>
      </w:r>
      <w:r w:rsidR="009000A3">
        <w:t xml:space="preserve">t is also possible that </w:t>
      </w:r>
      <w:proofErr w:type="spellStart"/>
      <w:r w:rsidR="009000A3">
        <w:t>eNB</w:t>
      </w:r>
      <w:proofErr w:type="spellEnd"/>
      <w:r w:rsidR="009000A3">
        <w:t xml:space="preserve"> is not able to provide a PUR configuration. In such case </w:t>
      </w:r>
      <w:proofErr w:type="spellStart"/>
      <w:r w:rsidR="009000A3">
        <w:t>eNB</w:t>
      </w:r>
      <w:proofErr w:type="spellEnd"/>
      <w:r w:rsidR="009000A3">
        <w:t xml:space="preserve"> may send a reject message.</w:t>
      </w:r>
    </w:p>
    <w:p w14:paraId="7BA29486" w14:textId="17E3BB37" w:rsidR="009000A3" w:rsidRDefault="00D854B7" w:rsidP="00511C58">
      <w:pPr>
        <w:keepNext/>
        <w:jc w:val="center"/>
      </w:pPr>
      <w:r w:rsidRPr="009000A3">
        <w:rPr>
          <w:lang w:val="en-US"/>
        </w:rPr>
        <w:object w:dxaOrig="5310" w:dyaOrig="2820" w14:anchorId="02884575">
          <v:shape id="_x0000_i1031" type="#_x0000_t75" style="width:159pt;height:84pt" o:ole="">
            <v:imagedata r:id="rId26" o:title=""/>
          </v:shape>
          <o:OLEObject Type="Embed" ProgID="Mscgen.Chart" ShapeID="_x0000_i1031" DrawAspect="Content" ObjectID="_1615298588" r:id="rId27"/>
        </w:object>
      </w:r>
      <w:r w:rsidR="003F52AB">
        <w:t xml:space="preserve">  </w:t>
      </w:r>
      <w:r>
        <w:t xml:space="preserve"> </w:t>
      </w:r>
      <w:r w:rsidRPr="003F52AB">
        <w:rPr>
          <w:lang w:val="en-US"/>
        </w:rPr>
        <w:object w:dxaOrig="4920" w:dyaOrig="2820" w14:anchorId="77E66060">
          <v:shape id="_x0000_i1032" type="#_x0000_t75" style="width:143.25pt;height:82.5pt" o:ole="">
            <v:imagedata r:id="rId28" o:title=""/>
          </v:shape>
          <o:OLEObject Type="Embed" ProgID="Mscgen.Chart" ShapeID="_x0000_i1032" DrawAspect="Content" ObjectID="_1615298589" r:id="rId29"/>
        </w:object>
      </w:r>
      <w:r w:rsidR="003F52AB">
        <w:t xml:space="preserve">  </w:t>
      </w:r>
      <w:r>
        <w:t xml:space="preserve"> </w:t>
      </w:r>
      <w:r w:rsidRPr="003F52AB">
        <w:rPr>
          <w:lang w:val="en-US"/>
        </w:rPr>
        <w:object w:dxaOrig="5160" w:dyaOrig="3075" w14:anchorId="01C8D6C2">
          <v:shape id="_x0000_i1033" type="#_x0000_t75" style="width:138.75pt;height:83.25pt" o:ole="">
            <v:imagedata r:id="rId30" o:title=""/>
          </v:shape>
          <o:OLEObject Type="Embed" ProgID="Mscgen.Chart" ShapeID="_x0000_i1033" DrawAspect="Content" ObjectID="_1615298590" r:id="rId31"/>
        </w:object>
      </w:r>
    </w:p>
    <w:p w14:paraId="3F7707D3" w14:textId="63682732" w:rsidR="009000A3" w:rsidRDefault="009000A3" w:rsidP="00511C58">
      <w:pPr>
        <w:pStyle w:val="Caption"/>
        <w:jc w:val="center"/>
      </w:pPr>
      <w:r>
        <w:t xml:space="preserve">Figure </w:t>
      </w:r>
      <w:r>
        <w:fldChar w:fldCharType="begin"/>
      </w:r>
      <w:r>
        <w:instrText xml:space="preserve"> SEQ Figure \* ARABIC </w:instrText>
      </w:r>
      <w:r>
        <w:fldChar w:fldCharType="separate"/>
      </w:r>
      <w:r w:rsidR="00F77EFF">
        <w:rPr>
          <w:noProof/>
        </w:rPr>
        <w:t>3</w:t>
      </w:r>
      <w:r>
        <w:fldChar w:fldCharType="end"/>
      </w:r>
      <w:r>
        <w:t xml:space="preserve"> </w:t>
      </w:r>
      <w:r w:rsidRPr="00474289">
        <w:t xml:space="preserve">PUR (re)configuration </w:t>
      </w:r>
      <w:r>
        <w:t>network reject</w:t>
      </w:r>
    </w:p>
    <w:p w14:paraId="235D12C8" w14:textId="74A5F1AA" w:rsidR="00F77EFF" w:rsidRPr="00CA0C96" w:rsidRDefault="00D36776" w:rsidP="00534C21">
      <w:pPr>
        <w:pStyle w:val="Proposal"/>
      </w:pPr>
      <w:bookmarkStart w:id="111" w:name="_Toc4504289"/>
      <w:bookmarkStart w:id="112" w:name="_Toc4504370"/>
      <w:bookmarkStart w:id="113" w:name="_Toc4504409"/>
      <w:bookmarkStart w:id="114" w:name="_Toc4685769"/>
      <w:r w:rsidRPr="00802D9C">
        <w:rPr>
          <w:lang w:val="en-US"/>
        </w:rPr>
        <w:t xml:space="preserve">The </w:t>
      </w:r>
      <w:proofErr w:type="spellStart"/>
      <w:r w:rsidRPr="00802D9C">
        <w:rPr>
          <w:lang w:val="en-US"/>
        </w:rPr>
        <w:t>eNB</w:t>
      </w:r>
      <w:proofErr w:type="spellEnd"/>
      <w:r w:rsidRPr="00802D9C">
        <w:rPr>
          <w:lang w:val="en-US"/>
        </w:rPr>
        <w:t xml:space="preserve"> can </w:t>
      </w:r>
      <w:r w:rsidR="00F36EEE" w:rsidRPr="00802D9C">
        <w:rPr>
          <w:lang w:val="en-US"/>
        </w:rPr>
        <w:t>reject the PUR request by responding with a PUR reject message.</w:t>
      </w:r>
      <w:bookmarkEnd w:id="111"/>
      <w:bookmarkEnd w:id="112"/>
      <w:bookmarkEnd w:id="113"/>
      <w:bookmarkEnd w:id="114"/>
    </w:p>
    <w:p w14:paraId="4DE38338" w14:textId="1F5BBFFD" w:rsidR="00804C66" w:rsidRDefault="00804C66" w:rsidP="00DA70E0">
      <w:pPr>
        <w:pStyle w:val="Heading2"/>
        <w:ind w:left="576"/>
      </w:pPr>
      <w:r>
        <w:t xml:space="preserve">Release of </w:t>
      </w:r>
      <w:r w:rsidR="00E22619">
        <w:t>UE-specific PUR</w:t>
      </w:r>
    </w:p>
    <w:p w14:paraId="6BB0DE78" w14:textId="25EC6788" w:rsidR="009B4DD6" w:rsidRDefault="00AD605F" w:rsidP="009B4DD6">
      <w:r>
        <w:t>Another important aspect with regards to the management of</w:t>
      </w:r>
      <w:r w:rsidR="009B4DD6">
        <w:t xml:space="preserve"> preconfigured resources for uplink data transmission is the timely release of </w:t>
      </w:r>
      <w:r>
        <w:t xml:space="preserve">UE-specific </w:t>
      </w:r>
      <w:r w:rsidR="008F345C">
        <w:t>PUR</w:t>
      </w:r>
      <w:r w:rsidR="009B4DD6">
        <w:t xml:space="preserve"> when the UE no longer ha</w:t>
      </w:r>
      <w:r w:rsidR="001353A8">
        <w:t>s</w:t>
      </w:r>
      <w:r w:rsidR="009B4DD6">
        <w:t xml:space="preserve"> use for it. </w:t>
      </w:r>
      <w:r w:rsidR="00F408A1">
        <w:t xml:space="preserve">The email discussion [8] concluded that both UE-initiated and network-initiated release should be supported. </w:t>
      </w:r>
    </w:p>
    <w:p w14:paraId="6F6B1CA5" w14:textId="4C60F9A1" w:rsidR="009B4DD6" w:rsidRPr="009B4DD6" w:rsidRDefault="00F408A1" w:rsidP="00511C58">
      <w:pPr>
        <w:pStyle w:val="Observation"/>
      </w:pPr>
      <w:bookmarkStart w:id="115" w:name="_Toc525764738"/>
      <w:bookmarkStart w:id="116" w:name="_Toc525822822"/>
      <w:bookmarkStart w:id="117" w:name="_Toc525844876"/>
      <w:bookmarkStart w:id="118" w:name="_Toc525844903"/>
      <w:bookmarkStart w:id="119" w:name="_Toc525844971"/>
      <w:bookmarkStart w:id="120" w:name="_Toc525844987"/>
      <w:bookmarkStart w:id="121" w:name="_Toc525845005"/>
      <w:bookmarkStart w:id="122" w:name="_Toc525845020"/>
      <w:bookmarkStart w:id="123" w:name="_Toc528843133"/>
      <w:bookmarkStart w:id="124" w:name="_Toc528843688"/>
      <w:bookmarkStart w:id="125" w:name="_Toc528843971"/>
      <w:bookmarkStart w:id="126" w:name="_Toc528844048"/>
      <w:bookmarkStart w:id="127" w:name="_Toc528845565"/>
      <w:bookmarkStart w:id="128" w:name="_Toc528851375"/>
      <w:bookmarkStart w:id="129" w:name="_Toc528851610"/>
      <w:bookmarkStart w:id="130" w:name="_Toc528868444"/>
      <w:bookmarkStart w:id="131" w:name="_Toc1049706"/>
      <w:bookmarkStart w:id="132" w:name="_Toc1068512"/>
      <w:bookmarkStart w:id="133" w:name="_Toc1071191"/>
      <w:bookmarkStart w:id="134" w:name="_Toc1071926"/>
      <w:bookmarkStart w:id="135" w:name="_Toc1071991"/>
      <w:bookmarkStart w:id="136" w:name="_Toc4504280"/>
      <w:bookmarkStart w:id="137" w:name="_Toc4504448"/>
      <w:bookmarkStart w:id="138" w:name="_Toc4685708"/>
      <w:r>
        <w:t>The email discussion [8] concluded that both UE-initiated and network-initiated release should be supported</w:t>
      </w:r>
      <w:r w:rsidR="003623CE">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C2C1596" w14:textId="7DA74BA5" w:rsidR="00802D9C" w:rsidRDefault="00DD1F0A" w:rsidP="009B4DD6">
      <w:r>
        <w:t>Following agreements were reached in RAN2#105, h</w:t>
      </w:r>
      <w:r w:rsidR="00F408A1">
        <w:t>owever, the exact details are not concluded.</w:t>
      </w:r>
      <w:r w:rsidR="00EA1B76">
        <w:t xml:space="preserve"> </w:t>
      </w:r>
    </w:p>
    <w:tbl>
      <w:tblPr>
        <w:tblStyle w:val="TableGrid"/>
        <w:tblW w:w="0" w:type="auto"/>
        <w:tblLook w:val="04A0" w:firstRow="1" w:lastRow="0" w:firstColumn="1" w:lastColumn="0" w:noHBand="0" w:noVBand="1"/>
      </w:tblPr>
      <w:tblGrid>
        <w:gridCol w:w="9350"/>
      </w:tblGrid>
      <w:tr w:rsidR="00DD1F0A" w14:paraId="1E00F4C2" w14:textId="77777777" w:rsidTr="00C10C6B">
        <w:tc>
          <w:tcPr>
            <w:tcW w:w="9350" w:type="dxa"/>
          </w:tcPr>
          <w:p w14:paraId="2807272D" w14:textId="77777777" w:rsidR="00DD1F0A" w:rsidRPr="00DD1F0A" w:rsidRDefault="00DD1F0A" w:rsidP="00DD1F0A">
            <w:pPr>
              <w:pStyle w:val="Agreement"/>
              <w:rPr>
                <w:b w:val="0"/>
                <w:lang w:val="en-US"/>
              </w:rPr>
            </w:pPr>
            <w:r w:rsidRPr="00DD1F0A">
              <w:rPr>
                <w:b w:val="0"/>
                <w:lang w:val="en-US"/>
              </w:rPr>
              <w:t xml:space="preserve">D-PUR configuration is released when the </w:t>
            </w:r>
            <w:proofErr w:type="spellStart"/>
            <w:r w:rsidRPr="00DD1F0A">
              <w:rPr>
                <w:b w:val="0"/>
                <w:lang w:val="en-US"/>
              </w:rPr>
              <w:t>eNB</w:t>
            </w:r>
            <w:proofErr w:type="spellEnd"/>
            <w:r w:rsidRPr="00DD1F0A">
              <w:rPr>
                <w:b w:val="0"/>
                <w:lang w:val="en-US"/>
              </w:rPr>
              <w:t xml:space="preserve"> doesn’t detect “m” consecutive UE transmissions </w:t>
            </w:r>
          </w:p>
          <w:p w14:paraId="3576B22E" w14:textId="77777777" w:rsidR="00DD1F0A" w:rsidRPr="00DD1F0A" w:rsidRDefault="00DD1F0A" w:rsidP="00DD1F0A">
            <w:pPr>
              <w:pStyle w:val="Agreement"/>
              <w:rPr>
                <w:b w:val="0"/>
                <w:lang w:val="en-US"/>
              </w:rPr>
            </w:pPr>
            <w:r w:rsidRPr="00DD1F0A">
              <w:rPr>
                <w:b w:val="0"/>
                <w:lang w:val="en-US"/>
              </w:rPr>
              <w:t xml:space="preserve">The UE must release the D-PUR when it does a RA procedure on a new cell. </w:t>
            </w:r>
          </w:p>
          <w:p w14:paraId="2D47291C" w14:textId="77777777" w:rsidR="00DD1F0A" w:rsidRPr="00B575A0" w:rsidRDefault="00DD1F0A" w:rsidP="00C10C6B">
            <w:pPr>
              <w:pStyle w:val="Doc-text2"/>
              <w:rPr>
                <w:lang w:val="en-US"/>
              </w:rPr>
            </w:pPr>
          </w:p>
        </w:tc>
      </w:tr>
    </w:tbl>
    <w:p w14:paraId="5C4BA535" w14:textId="77777777" w:rsidR="00DD1F0A" w:rsidRDefault="00DD1F0A" w:rsidP="009B4DD6"/>
    <w:p w14:paraId="069953BE" w14:textId="799D21F1" w:rsidR="00F408A1" w:rsidRDefault="00F408A1" w:rsidP="009B4DD6">
      <w:r>
        <w:t>In our view, for network</w:t>
      </w:r>
      <w:r w:rsidR="00142982">
        <w:t>-</w:t>
      </w:r>
      <w:r>
        <w:t>initiated release</w:t>
      </w:r>
      <w:r w:rsidR="00EA1B76">
        <w:t xml:space="preserve">, mechanisms need to be </w:t>
      </w:r>
      <w:r w:rsidR="00E97118">
        <w:t>defined</w:t>
      </w:r>
      <w:r w:rsidR="00EA1B76">
        <w:t xml:space="preserve"> </w:t>
      </w:r>
      <w:r w:rsidR="00E97118">
        <w:t>such that</w:t>
      </w:r>
      <w:r w:rsidR="00EA1B76">
        <w:t xml:space="preserve"> the </w:t>
      </w:r>
      <w:proofErr w:type="spellStart"/>
      <w:r w:rsidR="00EA1B76">
        <w:t>eNB</w:t>
      </w:r>
      <w:proofErr w:type="spellEnd"/>
      <w:r w:rsidR="00EA1B76">
        <w:t xml:space="preserve"> can indicate to a UE </w:t>
      </w:r>
      <w:r w:rsidR="00B961F6">
        <w:t xml:space="preserve">or group of UEs </w:t>
      </w:r>
      <w:r w:rsidR="00EA1B76">
        <w:t xml:space="preserve">that </w:t>
      </w:r>
      <w:r w:rsidR="007871AE">
        <w:t>the</w:t>
      </w:r>
      <w:r w:rsidR="00EA1B76">
        <w:t xml:space="preserve"> </w:t>
      </w:r>
      <w:r w:rsidR="008F345C">
        <w:t>PUR</w:t>
      </w:r>
      <w:r w:rsidR="00EA1B76">
        <w:t xml:space="preserve"> may no longer be used</w:t>
      </w:r>
      <w:r w:rsidR="00B961F6">
        <w:t xml:space="preserve"> by the UE(s)</w:t>
      </w:r>
      <w:r w:rsidR="00EA1B76">
        <w:t>.</w:t>
      </w:r>
      <w:r w:rsidR="00E97118">
        <w:t xml:space="preserve"> </w:t>
      </w:r>
    </w:p>
    <w:p w14:paraId="648818AF" w14:textId="3A23C77C" w:rsidR="00F408A1" w:rsidRDefault="00F408A1" w:rsidP="00511C58">
      <w:pPr>
        <w:pStyle w:val="Proposal"/>
      </w:pPr>
      <w:bookmarkStart w:id="139" w:name="_Toc1049717"/>
      <w:bookmarkStart w:id="140" w:name="_Toc1068504"/>
      <w:bookmarkStart w:id="141" w:name="_Toc1068523"/>
      <w:bookmarkStart w:id="142" w:name="_Toc1071203"/>
      <w:bookmarkStart w:id="143" w:name="_Toc1071938"/>
      <w:bookmarkStart w:id="144" w:name="_Toc1071982"/>
      <w:bookmarkStart w:id="145" w:name="_Toc1074009"/>
      <w:bookmarkStart w:id="146" w:name="_Toc4504290"/>
      <w:bookmarkStart w:id="147" w:name="_Toc4504371"/>
      <w:bookmarkStart w:id="148" w:name="_Toc4504410"/>
      <w:bookmarkStart w:id="149" w:name="_Toc4685770"/>
      <w:r>
        <w:t xml:space="preserve">Network-initiated group release of PUR </w:t>
      </w:r>
      <w:r w:rsidR="00F23527">
        <w:t>is</w:t>
      </w:r>
      <w:r>
        <w:t xml:space="preserve"> supported.</w:t>
      </w:r>
      <w:bookmarkEnd w:id="139"/>
      <w:bookmarkEnd w:id="140"/>
      <w:bookmarkEnd w:id="141"/>
      <w:bookmarkEnd w:id="142"/>
      <w:bookmarkEnd w:id="143"/>
      <w:bookmarkEnd w:id="144"/>
      <w:r w:rsidR="00F23527">
        <w:t xml:space="preserve"> Details FFS.</w:t>
      </w:r>
      <w:bookmarkEnd w:id="145"/>
      <w:bookmarkEnd w:id="146"/>
      <w:bookmarkEnd w:id="147"/>
      <w:bookmarkEnd w:id="148"/>
      <w:bookmarkEnd w:id="149"/>
    </w:p>
    <w:p w14:paraId="4A5BE1E0" w14:textId="432E5BE4" w:rsidR="009B4DD6" w:rsidRDefault="00B961F6" w:rsidP="009B4DD6">
      <w:r>
        <w:t xml:space="preserve">It is essential to make sure that such procedure does not require the UE to transit to CONNECTED mode, otherwise the whole objective of power saving is nullified. </w:t>
      </w:r>
      <w:r w:rsidR="00E97118">
        <w:t>The exact details of the different potential solutions can be further discussed</w:t>
      </w:r>
      <w:r>
        <w:t xml:space="preserve"> once RAN2 agreed on the principle</w:t>
      </w:r>
      <w:r w:rsidR="00E97118">
        <w:t>.</w:t>
      </w:r>
    </w:p>
    <w:p w14:paraId="041F17F8" w14:textId="160DE870" w:rsidR="00EA1B76" w:rsidRPr="009B4DD6" w:rsidRDefault="00E97118" w:rsidP="00074AD2">
      <w:pPr>
        <w:pStyle w:val="Proposal"/>
      </w:pPr>
      <w:bookmarkStart w:id="150" w:name="_Toc525764739"/>
      <w:bookmarkStart w:id="151" w:name="_Toc525822823"/>
      <w:bookmarkStart w:id="152" w:name="_Toc525844877"/>
      <w:bookmarkStart w:id="153" w:name="_Toc525844904"/>
      <w:bookmarkStart w:id="154" w:name="_Toc525844972"/>
      <w:bookmarkStart w:id="155" w:name="_Toc525844988"/>
      <w:bookmarkStart w:id="156" w:name="_Toc525845006"/>
      <w:bookmarkStart w:id="157" w:name="_Toc525845021"/>
      <w:bookmarkStart w:id="158" w:name="_Toc528843134"/>
      <w:bookmarkStart w:id="159" w:name="_Toc528843689"/>
      <w:bookmarkStart w:id="160" w:name="_Toc528843972"/>
      <w:bookmarkStart w:id="161" w:name="_Toc528844049"/>
      <w:bookmarkStart w:id="162" w:name="_Toc528845566"/>
      <w:bookmarkStart w:id="163" w:name="_Toc528851376"/>
      <w:bookmarkStart w:id="164" w:name="_Toc528851611"/>
      <w:bookmarkStart w:id="165" w:name="_Toc528868445"/>
      <w:bookmarkStart w:id="166" w:name="_Toc1049718"/>
      <w:bookmarkStart w:id="167" w:name="_Toc1068505"/>
      <w:bookmarkStart w:id="168" w:name="_Toc1068524"/>
      <w:bookmarkStart w:id="169" w:name="_Toc1071204"/>
      <w:bookmarkStart w:id="170" w:name="_Toc1071939"/>
      <w:bookmarkStart w:id="171" w:name="_Toc1071983"/>
      <w:bookmarkStart w:id="172" w:name="_Toc1074010"/>
      <w:bookmarkStart w:id="173" w:name="_Toc4504291"/>
      <w:bookmarkStart w:id="174" w:name="_Toc4504372"/>
      <w:bookmarkStart w:id="175" w:name="_Toc4504411"/>
      <w:bookmarkStart w:id="176" w:name="_Toc4685771"/>
      <w:r>
        <w:lastRenderedPageBreak/>
        <w:t>M</w:t>
      </w:r>
      <w:r w:rsidR="00EA1B76">
        <w:t xml:space="preserve">echanisms </w:t>
      </w:r>
      <w:r>
        <w:t>for</w:t>
      </w:r>
      <w:r w:rsidR="00EA1B76">
        <w:t xml:space="preserve"> the </w:t>
      </w:r>
      <w:proofErr w:type="spellStart"/>
      <w:r w:rsidR="00EA1B76">
        <w:t>eNB</w:t>
      </w:r>
      <w:proofErr w:type="spellEnd"/>
      <w:r w:rsidR="00EA1B76">
        <w:t xml:space="preserve"> </w:t>
      </w:r>
      <w:r>
        <w:t>to</w:t>
      </w:r>
      <w:r w:rsidR="00EA1B76">
        <w:t xml:space="preserve"> de</w:t>
      </w:r>
      <w:r w:rsidR="00B961F6">
        <w:t>-</w:t>
      </w:r>
      <w:r w:rsidR="00EA1B76">
        <w:t xml:space="preserve">configure </w:t>
      </w:r>
      <w:r w:rsidR="008F345C">
        <w:t>PUR</w:t>
      </w:r>
      <w:r>
        <w:t xml:space="preserve"> is supported</w:t>
      </w:r>
      <w:r w:rsidR="00B961F6">
        <w:t xml:space="preserve"> without needing the UE to enter RRC_CONNECTED</w:t>
      </w:r>
      <w:r w:rsidR="00EA1B76">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76"/>
      <w:r>
        <w:t xml:space="preserve"> </w:t>
      </w:r>
      <w:bookmarkEnd w:id="165"/>
      <w:bookmarkEnd w:id="166"/>
      <w:bookmarkEnd w:id="167"/>
      <w:bookmarkEnd w:id="168"/>
      <w:bookmarkEnd w:id="169"/>
      <w:bookmarkEnd w:id="170"/>
      <w:bookmarkEnd w:id="171"/>
      <w:bookmarkEnd w:id="172"/>
      <w:bookmarkEnd w:id="173"/>
      <w:bookmarkEnd w:id="174"/>
      <w:bookmarkEnd w:id="175"/>
    </w:p>
    <w:p w14:paraId="70B0255B" w14:textId="77777777" w:rsidR="001E2B8D" w:rsidRDefault="001E2B8D" w:rsidP="001F72DD">
      <w:pPr>
        <w:pStyle w:val="Heading1"/>
      </w:pPr>
      <w:r>
        <w:t>SIB-configured resources</w:t>
      </w:r>
    </w:p>
    <w:p w14:paraId="30960F3E" w14:textId="19555F08" w:rsidR="001E2B8D" w:rsidRDefault="001E2B8D" w:rsidP="001E2B8D">
      <w:r>
        <w:t>For use cases where UEs do not have a pre-determined data transmission pattern (for example, UEs that do not have periodic data to send), it is beneficial to preconfigure</w:t>
      </w:r>
      <w:r w:rsidR="00746E2B">
        <w:t xml:space="preserve"> UL</w:t>
      </w:r>
      <w:r>
        <w:t xml:space="preserve"> resources that are broadcast to all UEs capable of supporting this feature in the network. Such resources can be indicated in the SIB. These resources may be used on-demand by the UEs and are inherently contention-based shared resources. </w:t>
      </w:r>
    </w:p>
    <w:p w14:paraId="07D388AE" w14:textId="2A1F7397" w:rsidR="001E2B8D" w:rsidRPr="00302777" w:rsidRDefault="00746E2B" w:rsidP="00074AD2">
      <w:pPr>
        <w:pStyle w:val="Proposal"/>
      </w:pPr>
      <w:bookmarkStart w:id="177" w:name="_Toc525764740"/>
      <w:bookmarkStart w:id="178" w:name="_Toc525822824"/>
      <w:bookmarkStart w:id="179" w:name="_Toc525844878"/>
      <w:bookmarkStart w:id="180" w:name="_Toc525844905"/>
      <w:bookmarkStart w:id="181" w:name="_Toc525844973"/>
      <w:bookmarkStart w:id="182" w:name="_Toc525844989"/>
      <w:bookmarkStart w:id="183" w:name="_Toc525845007"/>
      <w:bookmarkStart w:id="184" w:name="_Toc525845022"/>
      <w:bookmarkStart w:id="185" w:name="_Toc528843135"/>
      <w:bookmarkStart w:id="186" w:name="_Toc528843690"/>
      <w:bookmarkStart w:id="187" w:name="_Toc528843973"/>
      <w:bookmarkStart w:id="188" w:name="_Toc528844050"/>
      <w:bookmarkStart w:id="189" w:name="_Toc528845567"/>
      <w:bookmarkStart w:id="190" w:name="_Toc528851377"/>
      <w:bookmarkStart w:id="191" w:name="_Toc528851612"/>
      <w:bookmarkStart w:id="192" w:name="_Toc528868446"/>
      <w:bookmarkStart w:id="193" w:name="_Toc1049719"/>
      <w:bookmarkStart w:id="194" w:name="_Toc1068506"/>
      <w:bookmarkStart w:id="195" w:name="_Toc1068525"/>
      <w:bookmarkStart w:id="196" w:name="_Toc1071205"/>
      <w:bookmarkStart w:id="197" w:name="_Toc1071940"/>
      <w:bookmarkStart w:id="198" w:name="_Toc1071984"/>
      <w:bookmarkStart w:id="199" w:name="_Toc1074011"/>
      <w:bookmarkStart w:id="200" w:name="_Toc4504292"/>
      <w:bookmarkStart w:id="201" w:name="_Toc4504373"/>
      <w:bookmarkStart w:id="202" w:name="_Toc4504412"/>
      <w:bookmarkStart w:id="203" w:name="_Toc4685772"/>
      <w:r>
        <w:t xml:space="preserve">Contention-based shared </w:t>
      </w:r>
      <w:r w:rsidR="008F345C">
        <w:t>PUR</w:t>
      </w:r>
      <w:r w:rsidDel="00746E2B">
        <w:t xml:space="preserve"> </w:t>
      </w:r>
      <w:r w:rsidR="001E2B8D">
        <w:t xml:space="preserve">for </w:t>
      </w:r>
      <w:r>
        <w:t xml:space="preserve">transmission in </w:t>
      </w:r>
      <w:r w:rsidR="001E2B8D">
        <w:t>IDLE mode</w:t>
      </w:r>
      <w:r>
        <w:t xml:space="preserve"> </w:t>
      </w:r>
      <w:r w:rsidR="001E2B8D">
        <w:t>is indicated in SIB.</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3218C90" w14:textId="67E09DC1" w:rsidR="003623CE" w:rsidRDefault="003623CE" w:rsidP="003623CE">
      <w:pPr>
        <w:pStyle w:val="Heading1"/>
      </w:pPr>
      <w:r>
        <w:t xml:space="preserve">Summary </w:t>
      </w:r>
    </w:p>
    <w:p w14:paraId="686102DA" w14:textId="0F8A22CA" w:rsidR="00CF4AAC" w:rsidRDefault="00CF4AAC" w:rsidP="00CF4AAC">
      <w:pPr>
        <w:jc w:val="both"/>
      </w:pPr>
      <w:r>
        <w:t>In this contribution, we discussed some aspects of support</w:t>
      </w:r>
      <w:r w:rsidR="009D59C3">
        <w:t xml:space="preserve">ing </w:t>
      </w:r>
      <w:r w:rsidR="009D59C3" w:rsidRPr="009D59C3">
        <w:t>UL data transmission on preconfigured resources in IDLE mode</w:t>
      </w:r>
      <w:r w:rsidRPr="00F25E88">
        <w:t xml:space="preserve">. </w:t>
      </w:r>
      <w:r>
        <w:t>Based on the above discussion, w</w:t>
      </w:r>
      <w:bookmarkStart w:id="204" w:name="_GoBack"/>
      <w:bookmarkEnd w:id="204"/>
      <w:r>
        <w:t>e</w:t>
      </w:r>
      <w:r w:rsidRPr="00F25E88">
        <w:t xml:space="preserve"> </w:t>
      </w:r>
      <w:r>
        <w:t>made the following observations:</w:t>
      </w:r>
    </w:p>
    <w:p w14:paraId="125BE0E9" w14:textId="77777777" w:rsidR="005E047A" w:rsidRPr="005E047A" w:rsidRDefault="00CF4AAC">
      <w:pPr>
        <w:pStyle w:val="TOC1"/>
        <w:rPr>
          <w:rFonts w:asciiTheme="minorHAnsi" w:eastAsiaTheme="minorEastAsia" w:hAnsiTheme="minorHAnsi" w:cstheme="minorBidi"/>
          <w:b/>
          <w:noProof/>
          <w:sz w:val="22"/>
          <w:szCs w:val="22"/>
          <w:lang w:val="en-US"/>
        </w:rPr>
      </w:pPr>
      <w:r w:rsidRPr="005E047A">
        <w:rPr>
          <w:b/>
        </w:rPr>
        <w:fldChar w:fldCharType="begin"/>
      </w:r>
      <w:r w:rsidRPr="005E047A">
        <w:rPr>
          <w:b/>
        </w:rPr>
        <w:instrText xml:space="preserve"> TOC \t "Observation" \z \n \* MERGEFORMAT </w:instrText>
      </w:r>
      <w:r w:rsidRPr="005E047A">
        <w:rPr>
          <w:b/>
        </w:rPr>
        <w:fldChar w:fldCharType="separate"/>
      </w:r>
      <w:r w:rsidR="005E047A" w:rsidRPr="005E047A">
        <w:rPr>
          <w:b/>
          <w:noProof/>
        </w:rPr>
        <w:t>Observation 1.</w:t>
      </w:r>
      <w:r w:rsidR="005E047A" w:rsidRPr="005E047A">
        <w:rPr>
          <w:rFonts w:asciiTheme="minorHAnsi" w:eastAsiaTheme="minorEastAsia" w:hAnsiTheme="minorHAnsi" w:cstheme="minorBidi"/>
          <w:b/>
          <w:noProof/>
          <w:sz w:val="22"/>
          <w:szCs w:val="22"/>
          <w:lang w:val="en-US"/>
        </w:rPr>
        <w:tab/>
      </w:r>
      <w:r w:rsidR="005E047A" w:rsidRPr="005E047A">
        <w:rPr>
          <w:b/>
          <w:noProof/>
        </w:rPr>
        <w:t>No preconfiguration mechanism currently exists for configuring UL resources for use in IDLE mode.</w:t>
      </w:r>
    </w:p>
    <w:p w14:paraId="69CFFA12" w14:textId="77777777" w:rsidR="005E047A" w:rsidRPr="005E047A" w:rsidRDefault="005E047A">
      <w:pPr>
        <w:pStyle w:val="TOC1"/>
        <w:rPr>
          <w:rFonts w:asciiTheme="minorHAnsi" w:eastAsiaTheme="minorEastAsia" w:hAnsiTheme="minorHAnsi" w:cstheme="minorBidi"/>
          <w:b/>
          <w:noProof/>
          <w:sz w:val="22"/>
          <w:szCs w:val="22"/>
          <w:lang w:val="en-US"/>
        </w:rPr>
      </w:pPr>
      <w:r w:rsidRPr="005E047A">
        <w:rPr>
          <w:b/>
          <w:noProof/>
        </w:rPr>
        <w:t>Observation 2.</w:t>
      </w:r>
      <w:r w:rsidRPr="005E047A">
        <w:rPr>
          <w:rFonts w:asciiTheme="minorHAnsi" w:eastAsiaTheme="minorEastAsia" w:hAnsiTheme="minorHAnsi" w:cstheme="minorBidi"/>
          <w:b/>
          <w:noProof/>
          <w:sz w:val="22"/>
          <w:szCs w:val="22"/>
          <w:lang w:val="en-US"/>
        </w:rPr>
        <w:tab/>
      </w:r>
      <w:r w:rsidRPr="005E047A">
        <w:rPr>
          <w:b/>
          <w:noProof/>
        </w:rPr>
        <w:t>RAN2 needs to study mechanisms to preconfigure/reconfigure UL resources for use in IDLE mode.</w:t>
      </w:r>
    </w:p>
    <w:p w14:paraId="6AB983EA" w14:textId="77777777" w:rsidR="005E047A" w:rsidRPr="005E047A" w:rsidRDefault="005E047A">
      <w:pPr>
        <w:pStyle w:val="TOC1"/>
        <w:rPr>
          <w:rFonts w:asciiTheme="minorHAnsi" w:eastAsiaTheme="minorEastAsia" w:hAnsiTheme="minorHAnsi" w:cstheme="minorBidi"/>
          <w:b/>
          <w:noProof/>
          <w:sz w:val="22"/>
          <w:szCs w:val="22"/>
          <w:lang w:val="en-US"/>
        </w:rPr>
      </w:pPr>
      <w:r w:rsidRPr="005E047A">
        <w:rPr>
          <w:b/>
          <w:noProof/>
        </w:rPr>
        <w:t>Observation 3.</w:t>
      </w:r>
      <w:r w:rsidRPr="005E047A">
        <w:rPr>
          <w:rFonts w:asciiTheme="minorHAnsi" w:eastAsiaTheme="minorEastAsia" w:hAnsiTheme="minorHAnsi" w:cstheme="minorBidi"/>
          <w:b/>
          <w:noProof/>
          <w:sz w:val="22"/>
          <w:szCs w:val="22"/>
          <w:lang w:val="en-US"/>
        </w:rPr>
        <w:tab/>
      </w:r>
      <w:r w:rsidRPr="005E047A">
        <w:rPr>
          <w:b/>
          <w:noProof/>
        </w:rPr>
        <w:t>The email discussion [8] concluded that both UE-initiated and network-initiated release should be supported.</w:t>
      </w:r>
    </w:p>
    <w:p w14:paraId="762159BC" w14:textId="2EAF339D" w:rsidR="00CF4AAC" w:rsidRDefault="00CF4AAC" w:rsidP="00CF4AAC">
      <w:pPr>
        <w:jc w:val="both"/>
        <w:rPr>
          <w:b/>
        </w:rPr>
      </w:pPr>
      <w:r w:rsidRPr="005E047A">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57FC2F0F" w14:textId="77777777" w:rsidR="00D120B0" w:rsidRPr="00D120B0" w:rsidRDefault="00A5464A">
      <w:pPr>
        <w:pStyle w:val="TOC1"/>
        <w:rPr>
          <w:rFonts w:asciiTheme="minorHAnsi" w:eastAsiaTheme="minorEastAsia" w:hAnsiTheme="minorHAnsi" w:cstheme="minorBidi"/>
          <w:b/>
          <w:noProof/>
          <w:sz w:val="22"/>
          <w:szCs w:val="22"/>
          <w:lang w:val="en-US"/>
        </w:rPr>
      </w:pPr>
      <w:r w:rsidRPr="00D120B0">
        <w:rPr>
          <w:b/>
        </w:rPr>
        <w:fldChar w:fldCharType="begin"/>
      </w:r>
      <w:r w:rsidRPr="00D120B0">
        <w:rPr>
          <w:b/>
        </w:rPr>
        <w:instrText xml:space="preserve"> TOC \t "Proposal" \z \n</w:instrText>
      </w:r>
      <w:r w:rsidRPr="00D120B0">
        <w:rPr>
          <w:b/>
        </w:rPr>
        <w:fldChar w:fldCharType="separate"/>
      </w:r>
      <w:r w:rsidR="00D120B0" w:rsidRPr="00D120B0">
        <w:rPr>
          <w:b/>
          <w:noProof/>
        </w:rPr>
        <w:t>Proposal 1.</w:t>
      </w:r>
      <w:r w:rsidR="00D120B0" w:rsidRPr="00D120B0">
        <w:rPr>
          <w:rFonts w:asciiTheme="minorHAnsi" w:eastAsiaTheme="minorEastAsia" w:hAnsiTheme="minorHAnsi" w:cstheme="minorBidi"/>
          <w:b/>
          <w:noProof/>
          <w:sz w:val="22"/>
          <w:szCs w:val="22"/>
          <w:lang w:val="en-US"/>
        </w:rPr>
        <w:tab/>
      </w:r>
      <w:r w:rsidR="00D120B0" w:rsidRPr="00D120B0">
        <w:rPr>
          <w:b/>
          <w:noProof/>
        </w:rPr>
        <w:t>(Re)configuration of PUR by dedicated RRC signalling is supported for both cases: while the UE is in RRC_CONNECTED and while the UE is in RRC_IDLE.</w:t>
      </w:r>
    </w:p>
    <w:p w14:paraId="00A63A61"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2.</w:t>
      </w:r>
      <w:r w:rsidRPr="00D120B0">
        <w:rPr>
          <w:rFonts w:asciiTheme="minorHAnsi" w:eastAsiaTheme="minorEastAsia" w:hAnsiTheme="minorHAnsi" w:cstheme="minorBidi"/>
          <w:b/>
          <w:noProof/>
          <w:sz w:val="22"/>
          <w:szCs w:val="22"/>
          <w:lang w:val="en-US"/>
        </w:rPr>
        <w:tab/>
      </w:r>
      <w:r w:rsidRPr="00D120B0">
        <w:rPr>
          <w:b/>
          <w:noProof/>
        </w:rPr>
        <w:t>PUR Configuration in RRC Connection Release message is supported.</w:t>
      </w:r>
    </w:p>
    <w:p w14:paraId="041A4C3F"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3.</w:t>
      </w:r>
      <w:r w:rsidRPr="00D120B0">
        <w:rPr>
          <w:rFonts w:asciiTheme="minorHAnsi" w:eastAsiaTheme="minorEastAsia" w:hAnsiTheme="minorHAnsi" w:cstheme="minorBidi"/>
          <w:b/>
          <w:noProof/>
          <w:sz w:val="22"/>
          <w:szCs w:val="22"/>
          <w:lang w:val="en-US"/>
        </w:rPr>
        <w:tab/>
      </w:r>
      <w:r w:rsidRPr="00D120B0">
        <w:rPr>
          <w:b/>
          <w:noProof/>
        </w:rPr>
        <w:t>PUR (re)configuration using EDT is supported.</w:t>
      </w:r>
    </w:p>
    <w:p w14:paraId="7FEBB86B"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4.</w:t>
      </w:r>
      <w:r w:rsidRPr="00D120B0">
        <w:rPr>
          <w:rFonts w:asciiTheme="minorHAnsi" w:eastAsiaTheme="minorEastAsia" w:hAnsiTheme="minorHAnsi" w:cstheme="minorBidi"/>
          <w:b/>
          <w:noProof/>
          <w:sz w:val="22"/>
          <w:szCs w:val="22"/>
          <w:lang w:val="en-US"/>
        </w:rPr>
        <w:tab/>
      </w:r>
      <w:r w:rsidRPr="00D120B0">
        <w:rPr>
          <w:b/>
          <w:noProof/>
        </w:rPr>
        <w:t>PUR (re)configuration using PUR is supported.</w:t>
      </w:r>
    </w:p>
    <w:p w14:paraId="110EDAAA"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5.</w:t>
      </w:r>
      <w:r w:rsidRPr="00D120B0">
        <w:rPr>
          <w:rFonts w:asciiTheme="minorHAnsi" w:eastAsiaTheme="minorEastAsia" w:hAnsiTheme="minorHAnsi" w:cstheme="minorBidi"/>
          <w:b/>
          <w:noProof/>
          <w:sz w:val="22"/>
          <w:szCs w:val="22"/>
          <w:lang w:val="en-US"/>
        </w:rPr>
        <w:tab/>
      </w:r>
      <w:r w:rsidRPr="00D120B0">
        <w:rPr>
          <w:b/>
          <w:noProof/>
        </w:rPr>
        <w:t>For reliable (re)configuration of PUR, in response to PUR (re)config message, UE sends PUR (re)config complete message.</w:t>
      </w:r>
    </w:p>
    <w:p w14:paraId="01E774AB"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6.</w:t>
      </w:r>
      <w:r w:rsidRPr="00D120B0">
        <w:rPr>
          <w:rFonts w:asciiTheme="minorHAnsi" w:eastAsiaTheme="minorEastAsia" w:hAnsiTheme="minorHAnsi" w:cstheme="minorBidi"/>
          <w:b/>
          <w:noProof/>
          <w:sz w:val="22"/>
          <w:szCs w:val="22"/>
          <w:lang w:val="en-US"/>
        </w:rPr>
        <w:tab/>
      </w:r>
      <w:r w:rsidRPr="00D120B0">
        <w:rPr>
          <w:b/>
          <w:noProof/>
        </w:rPr>
        <w:t>In response to PUR (re)config message, the UE may send PUR (re)config failure message in case the UE cannot or doesn’t want to use the provided PUR (re)configuration.</w:t>
      </w:r>
    </w:p>
    <w:p w14:paraId="27736D7C"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7.</w:t>
      </w:r>
      <w:r w:rsidRPr="00D120B0">
        <w:rPr>
          <w:rFonts w:asciiTheme="minorHAnsi" w:eastAsiaTheme="minorEastAsia" w:hAnsiTheme="minorHAnsi" w:cstheme="minorBidi"/>
          <w:b/>
          <w:noProof/>
          <w:sz w:val="22"/>
          <w:szCs w:val="22"/>
          <w:lang w:val="en-US"/>
        </w:rPr>
        <w:tab/>
      </w:r>
      <w:r w:rsidRPr="00D120B0">
        <w:rPr>
          <w:b/>
          <w:noProof/>
          <w:lang w:val="en-US"/>
        </w:rPr>
        <w:t>The eNB can reject the PUR request by responding with a PUR reject message.</w:t>
      </w:r>
    </w:p>
    <w:p w14:paraId="123BEBB8"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8.</w:t>
      </w:r>
      <w:r w:rsidRPr="00D120B0">
        <w:rPr>
          <w:rFonts w:asciiTheme="minorHAnsi" w:eastAsiaTheme="minorEastAsia" w:hAnsiTheme="minorHAnsi" w:cstheme="minorBidi"/>
          <w:b/>
          <w:noProof/>
          <w:sz w:val="22"/>
          <w:szCs w:val="22"/>
          <w:lang w:val="en-US"/>
        </w:rPr>
        <w:tab/>
      </w:r>
      <w:r w:rsidRPr="00D120B0">
        <w:rPr>
          <w:b/>
          <w:noProof/>
        </w:rPr>
        <w:t>Network-initiated group release of PUR is supported. Details FFS.</w:t>
      </w:r>
    </w:p>
    <w:p w14:paraId="1FCEA8C5"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9.</w:t>
      </w:r>
      <w:r w:rsidRPr="00D120B0">
        <w:rPr>
          <w:rFonts w:asciiTheme="minorHAnsi" w:eastAsiaTheme="minorEastAsia" w:hAnsiTheme="minorHAnsi" w:cstheme="minorBidi"/>
          <w:b/>
          <w:noProof/>
          <w:sz w:val="22"/>
          <w:szCs w:val="22"/>
          <w:lang w:val="en-US"/>
        </w:rPr>
        <w:tab/>
      </w:r>
      <w:r w:rsidRPr="00D120B0">
        <w:rPr>
          <w:b/>
          <w:noProof/>
        </w:rPr>
        <w:t>Mechanisms for the eNB to de-configure PUR is supported without needing the UE to enter RRC_CONNECTED.</w:t>
      </w:r>
    </w:p>
    <w:p w14:paraId="562D4683" w14:textId="77777777" w:rsidR="00D120B0" w:rsidRPr="00D120B0" w:rsidRDefault="00D120B0">
      <w:pPr>
        <w:pStyle w:val="TOC1"/>
        <w:rPr>
          <w:rFonts w:asciiTheme="minorHAnsi" w:eastAsiaTheme="minorEastAsia" w:hAnsiTheme="minorHAnsi" w:cstheme="minorBidi"/>
          <w:b/>
          <w:noProof/>
          <w:sz w:val="22"/>
          <w:szCs w:val="22"/>
          <w:lang w:val="en-US"/>
        </w:rPr>
      </w:pPr>
      <w:r w:rsidRPr="00D120B0">
        <w:rPr>
          <w:b/>
          <w:noProof/>
        </w:rPr>
        <w:t>Proposal 10.</w:t>
      </w:r>
      <w:r w:rsidRPr="00D120B0">
        <w:rPr>
          <w:rFonts w:asciiTheme="minorHAnsi" w:eastAsiaTheme="minorEastAsia" w:hAnsiTheme="minorHAnsi" w:cstheme="minorBidi"/>
          <w:b/>
          <w:noProof/>
          <w:sz w:val="22"/>
          <w:szCs w:val="22"/>
          <w:lang w:val="en-US"/>
        </w:rPr>
        <w:tab/>
      </w:r>
      <w:r w:rsidRPr="00D120B0">
        <w:rPr>
          <w:b/>
          <w:noProof/>
        </w:rPr>
        <w:t>Contention-based shared PUR for transmission in IDLE mode is indicated in SIB.</w:t>
      </w:r>
    </w:p>
    <w:p w14:paraId="787C6D0A" w14:textId="477E6BD9" w:rsidR="00CF4AAC" w:rsidRPr="007C55B4" w:rsidRDefault="00A5464A" w:rsidP="00A5464A">
      <w:pPr>
        <w:rPr>
          <w:b/>
        </w:rPr>
      </w:pPr>
      <w:r w:rsidRPr="00D120B0">
        <w:rPr>
          <w:b/>
        </w:rPr>
        <w:fldChar w:fldCharType="end"/>
      </w:r>
    </w:p>
    <w:p w14:paraId="76813EB3" w14:textId="26AD39F2" w:rsidR="00F46EF8" w:rsidRDefault="00CB1C5B" w:rsidP="00960B2F">
      <w:pPr>
        <w:pStyle w:val="Heading1"/>
      </w:pPr>
      <w:r w:rsidRPr="00316DEE">
        <w:t>References</w:t>
      </w:r>
    </w:p>
    <w:p w14:paraId="34BDD1C2" w14:textId="352996E5"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w:t>
      </w:r>
      <w:r>
        <w:rPr>
          <w:bCs/>
          <w:shd w:val="clear" w:color="auto" w:fill="FFFFFF"/>
        </w:rPr>
        <w:t>1878</w:t>
      </w:r>
      <w:r w:rsidRPr="00316DEE">
        <w:rPr>
          <w:bCs/>
          <w:shd w:val="clear" w:color="auto" w:fill="FFFFFF"/>
        </w:rPr>
        <w:t xml:space="preserve">, </w:t>
      </w:r>
      <w:r w:rsidRPr="004829A6">
        <w:rPr>
          <w:bCs/>
          <w:shd w:val="clear" w:color="auto" w:fill="FFFFFF"/>
        </w:rPr>
        <w:t>Revised WID: Additional MTC enhancements for LTE</w:t>
      </w:r>
      <w:r w:rsidRPr="00316DEE">
        <w:rPr>
          <w:bCs/>
          <w:shd w:val="clear" w:color="auto" w:fill="FFFFFF"/>
        </w:rPr>
        <w:t>, Ericsson</w:t>
      </w:r>
    </w:p>
    <w:p w14:paraId="178EA7FC" w14:textId="375DDA1F"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lastRenderedPageBreak/>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68599CD" w14:textId="18709010" w:rsidR="00950B97" w:rsidRDefault="00950B97" w:rsidP="00B90A61">
      <w:pPr>
        <w:pStyle w:val="ListParagraph"/>
        <w:numPr>
          <w:ilvl w:val="0"/>
          <w:numId w:val="6"/>
        </w:numPr>
        <w:spacing w:after="0" w:line="276" w:lineRule="auto"/>
        <w:rPr>
          <w:bCs/>
          <w:shd w:val="clear" w:color="auto" w:fill="FFFFFF"/>
        </w:rPr>
      </w:pPr>
      <w:r w:rsidRPr="00B90A61">
        <w:rPr>
          <w:bCs/>
          <w:shd w:val="clear" w:color="auto" w:fill="FFFFFF"/>
        </w:rPr>
        <w:t>R1-</w:t>
      </w:r>
      <w:r w:rsidR="00B90A61" w:rsidRPr="00B90A61">
        <w:rPr>
          <w:bCs/>
          <w:shd w:val="clear" w:color="auto" w:fill="FFFFFF"/>
        </w:rPr>
        <w:t>1809672</w:t>
      </w:r>
      <w:r w:rsidR="00B90A61">
        <w:rPr>
          <w:bCs/>
          <w:shd w:val="clear" w:color="auto" w:fill="FFFFFF"/>
        </w:rPr>
        <w:t>,</w:t>
      </w:r>
      <w:r w:rsidRPr="00B90A61">
        <w:rPr>
          <w:bCs/>
          <w:shd w:val="clear" w:color="auto" w:fill="FFFFFF"/>
        </w:rPr>
        <w:t xml:space="preserve"> RAN1#9</w:t>
      </w:r>
      <w:r w:rsidR="00B90A61" w:rsidRPr="00B90A61">
        <w:rPr>
          <w:bCs/>
          <w:shd w:val="clear" w:color="auto" w:fill="FFFFFF"/>
        </w:rPr>
        <w:t>4</w:t>
      </w:r>
      <w:r w:rsidR="00B90A61">
        <w:rPr>
          <w:bCs/>
          <w:shd w:val="clear" w:color="auto" w:fill="FFFFFF"/>
        </w:rPr>
        <w:t xml:space="preserve"> </w:t>
      </w:r>
      <w:r w:rsidR="00B90A61" w:rsidRPr="00B90A61">
        <w:rPr>
          <w:bCs/>
          <w:shd w:val="clear" w:color="auto" w:fill="FFFFFF"/>
        </w:rPr>
        <w:t>Chairman’s notes of AI 6.2.1 Additional MTC Enhancements</w:t>
      </w:r>
      <w:r w:rsidR="00B90A61">
        <w:rPr>
          <w:bCs/>
          <w:shd w:val="clear" w:color="auto" w:fill="FFFFFF"/>
        </w:rPr>
        <w:t>,</w:t>
      </w:r>
      <w:r w:rsidR="00B90A61" w:rsidRPr="00B90A61">
        <w:rPr>
          <w:bCs/>
          <w:shd w:val="clear" w:color="auto" w:fill="FFFFFF"/>
        </w:rPr>
        <w:t xml:space="preserve"> </w:t>
      </w:r>
      <w:r w:rsidR="00A54D2A">
        <w:t>Ad-hoc Chair (</w:t>
      </w:r>
      <w:r w:rsidR="00B90A61" w:rsidRPr="00B90A61">
        <w:rPr>
          <w:bCs/>
          <w:shd w:val="clear" w:color="auto" w:fill="FFFFFF"/>
        </w:rPr>
        <w:t>Samsung</w:t>
      </w:r>
      <w:r w:rsidR="00A54D2A">
        <w:rPr>
          <w:bCs/>
          <w:shd w:val="clear" w:color="auto" w:fill="FFFFFF"/>
        </w:rPr>
        <w:t>)</w:t>
      </w:r>
    </w:p>
    <w:p w14:paraId="1C52F580" w14:textId="683D2A94" w:rsidR="00B90A61" w:rsidRPr="00B90A61" w:rsidRDefault="00B90A61" w:rsidP="00B90A61">
      <w:pPr>
        <w:pStyle w:val="ListParagraph"/>
        <w:numPr>
          <w:ilvl w:val="0"/>
          <w:numId w:val="6"/>
        </w:numPr>
        <w:spacing w:after="0" w:line="276" w:lineRule="auto"/>
        <w:rPr>
          <w:bCs/>
          <w:shd w:val="clear" w:color="auto" w:fill="FFFFFF"/>
        </w:rPr>
      </w:pPr>
      <w:r w:rsidRPr="00B90A61">
        <w:rPr>
          <w:bCs/>
          <w:shd w:val="clear" w:color="auto" w:fill="FFFFFF"/>
        </w:rPr>
        <w:t>R1-1809673, RAN1#94 Chairman’s notes of AI 6.2.2 Additional Enhancements for NB-IoT</w:t>
      </w:r>
      <w:r>
        <w:rPr>
          <w:bCs/>
          <w:shd w:val="clear" w:color="auto" w:fill="FFFFFF"/>
        </w:rPr>
        <w:t xml:space="preserve">, </w:t>
      </w:r>
      <w:r w:rsidR="00A54D2A">
        <w:t>Ad-hoc Chair (</w:t>
      </w:r>
      <w:r w:rsidRPr="00B90A61">
        <w:rPr>
          <w:bCs/>
          <w:shd w:val="clear" w:color="auto" w:fill="FFFFFF"/>
        </w:rPr>
        <w:t>Samsung</w:t>
      </w:r>
      <w:r w:rsidR="00A54D2A">
        <w:rPr>
          <w:bCs/>
          <w:shd w:val="clear" w:color="auto" w:fill="FFFFFF"/>
        </w:rPr>
        <w:t>)</w:t>
      </w:r>
    </w:p>
    <w:p w14:paraId="63B95B49" w14:textId="48A3EB4F" w:rsidR="0052682F" w:rsidRDefault="00FD09E0" w:rsidP="00FD09E0">
      <w:pPr>
        <w:pStyle w:val="ListParagraph"/>
        <w:numPr>
          <w:ilvl w:val="0"/>
          <w:numId w:val="6"/>
        </w:numPr>
        <w:spacing w:after="0" w:line="276" w:lineRule="auto"/>
      </w:pPr>
      <w:r w:rsidRPr="00FD09E0">
        <w:t>R2-1815603</w:t>
      </w:r>
      <w:r>
        <w:t xml:space="preserve">, </w:t>
      </w:r>
      <w:r w:rsidRPr="00FD09E0">
        <w:t>Report from Break-Out Session, Session Chair (Huawei)</w:t>
      </w:r>
    </w:p>
    <w:p w14:paraId="257711C2" w14:textId="4E111BD6" w:rsidR="00483B97" w:rsidRDefault="00483B97" w:rsidP="00483B97">
      <w:pPr>
        <w:pStyle w:val="ListParagraph"/>
        <w:numPr>
          <w:ilvl w:val="0"/>
          <w:numId w:val="6"/>
        </w:numPr>
        <w:spacing w:after="0" w:line="276" w:lineRule="auto"/>
      </w:pPr>
      <w:r>
        <w:t>R1-1811725</w:t>
      </w:r>
      <w:r w:rsidR="009D1BF0">
        <w:t xml:space="preserve">, RAN1#94bis </w:t>
      </w:r>
      <w:r>
        <w:t>Chairman’s notes of AI 6.2.1 Additional MTC Enhancements</w:t>
      </w:r>
      <w:r w:rsidR="009D1BF0">
        <w:t xml:space="preserve">, </w:t>
      </w:r>
      <w:r>
        <w:t>Ad-hoc Chair (Samsung)</w:t>
      </w:r>
    </w:p>
    <w:p w14:paraId="63F10F59" w14:textId="145AE82C" w:rsidR="00483B97" w:rsidRDefault="00483B97" w:rsidP="00483B97">
      <w:pPr>
        <w:pStyle w:val="ListParagraph"/>
        <w:numPr>
          <w:ilvl w:val="0"/>
          <w:numId w:val="6"/>
        </w:numPr>
        <w:spacing w:after="0" w:line="276" w:lineRule="auto"/>
      </w:pPr>
      <w:r>
        <w:t>R1-1811726</w:t>
      </w:r>
      <w:r w:rsidR="009D1BF0">
        <w:t xml:space="preserve">, RAN1#94bis </w:t>
      </w:r>
      <w:r>
        <w:t>Chairman’s notes of AI 6.2.2 Additional Enhancements for NB-IoT</w:t>
      </w:r>
      <w:r w:rsidR="009D1BF0">
        <w:t xml:space="preserve">, </w:t>
      </w:r>
      <w:r>
        <w:t>Ad-hoc Chair (Samsung)</w:t>
      </w:r>
    </w:p>
    <w:p w14:paraId="7E8993E8" w14:textId="676DA5EE" w:rsidR="000E7C10" w:rsidRDefault="000E7C10" w:rsidP="00483B97">
      <w:pPr>
        <w:pStyle w:val="ListParagraph"/>
        <w:numPr>
          <w:ilvl w:val="0"/>
          <w:numId w:val="6"/>
        </w:numPr>
        <w:spacing w:after="0" w:line="276" w:lineRule="auto"/>
      </w:pPr>
      <w:r w:rsidRPr="000E7C10">
        <w:t>R2-1900120</w:t>
      </w:r>
      <w:r>
        <w:t xml:space="preserve">, </w:t>
      </w:r>
      <w:r w:rsidRPr="000E7C10">
        <w:t>Email discussion [104#</w:t>
      </w:r>
      <w:proofErr w:type="gramStart"/>
      <w:r w:rsidRPr="000E7C10">
        <w:t>43][</w:t>
      </w:r>
      <w:proofErr w:type="spellStart"/>
      <w:proofErr w:type="gramEnd"/>
      <w:r w:rsidRPr="000E7C10">
        <w:t>eMTC</w:t>
      </w:r>
      <w:proofErr w:type="spellEnd"/>
      <w:r w:rsidRPr="000E7C10">
        <w:t xml:space="preserve"> &amp; NB-IoT R16] D-PUR report</w:t>
      </w:r>
    </w:p>
    <w:p w14:paraId="748378F8" w14:textId="292E2CC4" w:rsidR="00C462B0" w:rsidRDefault="00C977B7" w:rsidP="00483B97">
      <w:pPr>
        <w:pStyle w:val="ListParagraph"/>
        <w:numPr>
          <w:ilvl w:val="0"/>
          <w:numId w:val="6"/>
        </w:numPr>
        <w:spacing w:after="0" w:line="276" w:lineRule="auto"/>
      </w:pPr>
      <w:r w:rsidRPr="00C977B7">
        <w:t>R2-1818633</w:t>
      </w:r>
      <w:r>
        <w:t xml:space="preserve">, </w:t>
      </w:r>
      <w:r w:rsidRPr="00C977B7">
        <w:t>RAN2 agreements for Rel-16 additional enhancements for NB-IoT and MTC</w:t>
      </w:r>
    </w:p>
    <w:p w14:paraId="6C15DE38" w14:textId="794F6889" w:rsidR="00C462B0" w:rsidRDefault="00C462B0" w:rsidP="00483B97">
      <w:pPr>
        <w:pStyle w:val="ListParagraph"/>
        <w:numPr>
          <w:ilvl w:val="0"/>
          <w:numId w:val="6"/>
        </w:numPr>
        <w:spacing w:after="0" w:line="276" w:lineRule="auto"/>
      </w:pPr>
      <w:r w:rsidRPr="00C462B0">
        <w:t>R1-1813770</w:t>
      </w:r>
      <w:r>
        <w:t xml:space="preserve">, </w:t>
      </w:r>
      <w:r w:rsidRPr="00C462B0">
        <w:t>Chairman's notes of AI 6.2.1 Additional MTC Enhancements</w:t>
      </w:r>
      <w:r>
        <w:t xml:space="preserve">, </w:t>
      </w:r>
      <w:r w:rsidRPr="00C462B0">
        <w:t>Ad-hoc chair (Samsung)</w:t>
      </w:r>
    </w:p>
    <w:p w14:paraId="538719E1" w14:textId="41E3C8EB" w:rsidR="00483B97" w:rsidRPr="0052682F" w:rsidRDefault="00483B97" w:rsidP="00D537A2">
      <w:pPr>
        <w:spacing w:after="0" w:line="276" w:lineRule="auto"/>
        <w:ind w:left="360"/>
      </w:pPr>
    </w:p>
    <w:sectPr w:rsidR="00483B97" w:rsidRPr="0052682F" w:rsidSect="0028052E">
      <w:headerReference w:type="even" r:id="rId32"/>
      <w:footerReference w:type="even"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DC789" w14:textId="77777777" w:rsidR="00A802B9" w:rsidRDefault="00A802B9">
      <w:pPr>
        <w:spacing w:after="0"/>
      </w:pPr>
      <w:r>
        <w:separator/>
      </w:r>
    </w:p>
  </w:endnote>
  <w:endnote w:type="continuationSeparator" w:id="0">
    <w:p w14:paraId="32BA361B" w14:textId="77777777" w:rsidR="00A802B9" w:rsidRDefault="00A80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137B3" w14:textId="77777777" w:rsidR="00A802B9" w:rsidRDefault="00A802B9">
      <w:pPr>
        <w:spacing w:after="0"/>
      </w:pPr>
      <w:r>
        <w:separator/>
      </w:r>
    </w:p>
  </w:footnote>
  <w:footnote w:type="continuationSeparator" w:id="0">
    <w:p w14:paraId="613C04C1" w14:textId="77777777" w:rsidR="00A802B9" w:rsidRDefault="00A802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FCC83AE2"/>
    <w:lvl w:ilvl="0" w:tplc="66506F0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B37981"/>
    <w:multiLevelType w:val="hybridMultilevel"/>
    <w:tmpl w:val="EBDAD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6C79BD"/>
    <w:multiLevelType w:val="hybridMultilevel"/>
    <w:tmpl w:val="97623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D7D4168"/>
    <w:multiLevelType w:val="hybridMultilevel"/>
    <w:tmpl w:val="C4DA94CA"/>
    <w:lvl w:ilvl="0" w:tplc="A3047830">
      <w:start w:val="1"/>
      <w:numFmt w:val="bullet"/>
      <w:lvlText w:val=""/>
      <w:lvlJc w:val="left"/>
      <w:pPr>
        <w:tabs>
          <w:tab w:val="num" w:pos="720"/>
        </w:tabs>
        <w:ind w:left="720" w:hanging="360"/>
      </w:pPr>
      <w:rPr>
        <w:rFonts w:ascii="Wingdings" w:hAnsi="Wingdings" w:hint="default"/>
      </w:rPr>
    </w:lvl>
    <w:lvl w:ilvl="1" w:tplc="2F96DAFE" w:tentative="1">
      <w:start w:val="1"/>
      <w:numFmt w:val="bullet"/>
      <w:lvlText w:val=""/>
      <w:lvlJc w:val="left"/>
      <w:pPr>
        <w:tabs>
          <w:tab w:val="num" w:pos="1440"/>
        </w:tabs>
        <w:ind w:left="1440" w:hanging="360"/>
      </w:pPr>
      <w:rPr>
        <w:rFonts w:ascii="Wingdings" w:hAnsi="Wingdings" w:hint="default"/>
      </w:rPr>
    </w:lvl>
    <w:lvl w:ilvl="2" w:tplc="FBF462D2">
      <w:start w:val="1"/>
      <w:numFmt w:val="bullet"/>
      <w:lvlText w:val=""/>
      <w:lvlJc w:val="left"/>
      <w:pPr>
        <w:tabs>
          <w:tab w:val="num" w:pos="2160"/>
        </w:tabs>
        <w:ind w:left="2160" w:hanging="360"/>
      </w:pPr>
      <w:rPr>
        <w:rFonts w:ascii="Wingdings" w:hAnsi="Wingdings" w:hint="default"/>
      </w:rPr>
    </w:lvl>
    <w:lvl w:ilvl="3" w:tplc="A42811AE" w:tentative="1">
      <w:start w:val="1"/>
      <w:numFmt w:val="bullet"/>
      <w:lvlText w:val=""/>
      <w:lvlJc w:val="left"/>
      <w:pPr>
        <w:tabs>
          <w:tab w:val="num" w:pos="2880"/>
        </w:tabs>
        <w:ind w:left="2880" w:hanging="360"/>
      </w:pPr>
      <w:rPr>
        <w:rFonts w:ascii="Wingdings" w:hAnsi="Wingdings" w:hint="default"/>
      </w:rPr>
    </w:lvl>
    <w:lvl w:ilvl="4" w:tplc="AA5E6EF4" w:tentative="1">
      <w:start w:val="1"/>
      <w:numFmt w:val="bullet"/>
      <w:lvlText w:val=""/>
      <w:lvlJc w:val="left"/>
      <w:pPr>
        <w:tabs>
          <w:tab w:val="num" w:pos="3600"/>
        </w:tabs>
        <w:ind w:left="3600" w:hanging="360"/>
      </w:pPr>
      <w:rPr>
        <w:rFonts w:ascii="Wingdings" w:hAnsi="Wingdings" w:hint="default"/>
      </w:rPr>
    </w:lvl>
    <w:lvl w:ilvl="5" w:tplc="137AABBE" w:tentative="1">
      <w:start w:val="1"/>
      <w:numFmt w:val="bullet"/>
      <w:lvlText w:val=""/>
      <w:lvlJc w:val="left"/>
      <w:pPr>
        <w:tabs>
          <w:tab w:val="num" w:pos="4320"/>
        </w:tabs>
        <w:ind w:left="4320" w:hanging="360"/>
      </w:pPr>
      <w:rPr>
        <w:rFonts w:ascii="Wingdings" w:hAnsi="Wingdings" w:hint="default"/>
      </w:rPr>
    </w:lvl>
    <w:lvl w:ilvl="6" w:tplc="0A085460" w:tentative="1">
      <w:start w:val="1"/>
      <w:numFmt w:val="bullet"/>
      <w:lvlText w:val=""/>
      <w:lvlJc w:val="left"/>
      <w:pPr>
        <w:tabs>
          <w:tab w:val="num" w:pos="5040"/>
        </w:tabs>
        <w:ind w:left="5040" w:hanging="360"/>
      </w:pPr>
      <w:rPr>
        <w:rFonts w:ascii="Wingdings" w:hAnsi="Wingdings" w:hint="default"/>
      </w:rPr>
    </w:lvl>
    <w:lvl w:ilvl="7" w:tplc="45A8C0E6" w:tentative="1">
      <w:start w:val="1"/>
      <w:numFmt w:val="bullet"/>
      <w:lvlText w:val=""/>
      <w:lvlJc w:val="left"/>
      <w:pPr>
        <w:tabs>
          <w:tab w:val="num" w:pos="5760"/>
        </w:tabs>
        <w:ind w:left="5760" w:hanging="360"/>
      </w:pPr>
      <w:rPr>
        <w:rFonts w:ascii="Wingdings" w:hAnsi="Wingdings" w:hint="default"/>
      </w:rPr>
    </w:lvl>
    <w:lvl w:ilvl="8" w:tplc="B1081CF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26"/>
  </w:num>
  <w:num w:numId="4">
    <w:abstractNumId w:val="1"/>
  </w:num>
  <w:num w:numId="5">
    <w:abstractNumId w:val="9"/>
  </w:num>
  <w:num w:numId="6">
    <w:abstractNumId w:val="38"/>
  </w:num>
  <w:num w:numId="7">
    <w:abstractNumId w:val="35"/>
  </w:num>
  <w:num w:numId="8">
    <w:abstractNumId w:val="21"/>
  </w:num>
  <w:num w:numId="9">
    <w:abstractNumId w:val="13"/>
  </w:num>
  <w:num w:numId="10">
    <w:abstractNumId w:val="6"/>
  </w:num>
  <w:num w:numId="11">
    <w:abstractNumId w:val="1"/>
  </w:num>
  <w:num w:numId="12">
    <w:abstractNumId w:val="28"/>
  </w:num>
  <w:num w:numId="13">
    <w:abstractNumId w:val="15"/>
  </w:num>
  <w:num w:numId="14">
    <w:abstractNumId w:val="7"/>
  </w:num>
  <w:num w:numId="15">
    <w:abstractNumId w:val="2"/>
  </w:num>
  <w:num w:numId="16">
    <w:abstractNumId w:val="12"/>
  </w:num>
  <w:num w:numId="17">
    <w:abstractNumId w:val="39"/>
  </w:num>
  <w:num w:numId="18">
    <w:abstractNumId w:val="24"/>
  </w:num>
  <w:num w:numId="19">
    <w:abstractNumId w:val="14"/>
  </w:num>
  <w:num w:numId="20">
    <w:abstractNumId w:val="25"/>
  </w:num>
  <w:num w:numId="21">
    <w:abstractNumId w:val="30"/>
  </w:num>
  <w:num w:numId="22">
    <w:abstractNumId w:val="32"/>
  </w:num>
  <w:num w:numId="23">
    <w:abstractNumId w:val="33"/>
  </w:num>
  <w:num w:numId="24">
    <w:abstractNumId w:val="11"/>
  </w:num>
  <w:num w:numId="25">
    <w:abstractNumId w:val="34"/>
  </w:num>
  <w:num w:numId="26">
    <w:abstractNumId w:val="8"/>
  </w:num>
  <w:num w:numId="27">
    <w:abstractNumId w:val="3"/>
  </w:num>
  <w:num w:numId="28">
    <w:abstractNumId w:val="40"/>
  </w:num>
  <w:num w:numId="29">
    <w:abstractNumId w:val="23"/>
  </w:num>
  <w:num w:numId="30">
    <w:abstractNumId w:val="26"/>
  </w:num>
  <w:num w:numId="31">
    <w:abstractNumId w:val="5"/>
  </w:num>
  <w:num w:numId="32">
    <w:abstractNumId w:val="20"/>
  </w:num>
  <w:num w:numId="33">
    <w:abstractNumId w:val="4"/>
  </w:num>
  <w:num w:numId="34">
    <w:abstractNumId w:val="26"/>
  </w:num>
  <w:num w:numId="35">
    <w:abstractNumId w:val="1"/>
  </w:num>
  <w:num w:numId="36">
    <w:abstractNumId w:val="1"/>
  </w:num>
  <w:num w:numId="37">
    <w:abstractNumId w:val="22"/>
  </w:num>
  <w:num w:numId="38">
    <w:abstractNumId w:val="37"/>
  </w:num>
  <w:num w:numId="39">
    <w:abstractNumId w:val="28"/>
  </w:num>
  <w:num w:numId="40">
    <w:abstractNumId w:val="1"/>
  </w:num>
  <w:num w:numId="41">
    <w:abstractNumId w:val="26"/>
  </w:num>
  <w:num w:numId="42">
    <w:abstractNumId w:val="1"/>
  </w:num>
  <w:num w:numId="43">
    <w:abstractNumId w:val="10"/>
  </w:num>
  <w:num w:numId="44">
    <w:abstractNumId w:val="1"/>
  </w:num>
  <w:num w:numId="45">
    <w:abstractNumId w:val="26"/>
  </w:num>
  <w:num w:numId="46">
    <w:abstractNumId w:val="18"/>
  </w:num>
  <w:num w:numId="47">
    <w:abstractNumId w:val="29"/>
  </w:num>
  <w:num w:numId="48">
    <w:abstractNumId w:val="36"/>
  </w:num>
  <w:num w:numId="49">
    <w:abstractNumId w:val="26"/>
  </w:num>
  <w:num w:numId="50">
    <w:abstractNumId w:val="19"/>
  </w:num>
  <w:num w:numId="51">
    <w:abstractNumId w:val="36"/>
  </w:num>
  <w:num w:numId="52">
    <w:abstractNumId w:val="27"/>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num>
  <w:num w:numId="55">
    <w:abstractNumId w:val="23"/>
  </w:num>
  <w:num w:numId="56">
    <w:abstractNumId w:val="23"/>
  </w:num>
  <w:num w:numId="57">
    <w:abstractNumId w:val="23"/>
  </w:num>
  <w:num w:numId="58">
    <w:abstractNumId w:val="23"/>
  </w:num>
  <w:num w:numId="59">
    <w:abstractNumId w:val="23"/>
  </w:num>
  <w:num w:numId="60">
    <w:abstractNumId w:val="23"/>
  </w:num>
  <w:num w:numId="61">
    <w:abstractNumId w:val="23"/>
  </w:num>
  <w:num w:numId="62">
    <w:abstractNumId w:val="23"/>
  </w:num>
  <w:num w:numId="63">
    <w:abstractNumId w:val="23"/>
  </w:num>
  <w:num w:numId="64">
    <w:abstractNumId w:val="23"/>
  </w:num>
  <w:num w:numId="65">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215F"/>
    <w:rsid w:val="00002C54"/>
    <w:rsid w:val="000041A0"/>
    <w:rsid w:val="00004611"/>
    <w:rsid w:val="00004BF6"/>
    <w:rsid w:val="00004EFE"/>
    <w:rsid w:val="00005F3B"/>
    <w:rsid w:val="00006D93"/>
    <w:rsid w:val="00007AC4"/>
    <w:rsid w:val="00007BD1"/>
    <w:rsid w:val="00010133"/>
    <w:rsid w:val="0001102B"/>
    <w:rsid w:val="0001179D"/>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3839"/>
    <w:rsid w:val="000543A1"/>
    <w:rsid w:val="000544B1"/>
    <w:rsid w:val="00054B46"/>
    <w:rsid w:val="0005702C"/>
    <w:rsid w:val="00057164"/>
    <w:rsid w:val="00060129"/>
    <w:rsid w:val="0006036E"/>
    <w:rsid w:val="00061A7A"/>
    <w:rsid w:val="000627E6"/>
    <w:rsid w:val="00063525"/>
    <w:rsid w:val="000638A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888"/>
    <w:rsid w:val="00084433"/>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2813"/>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1A6E"/>
    <w:rsid w:val="000D2650"/>
    <w:rsid w:val="000D2968"/>
    <w:rsid w:val="000D2B97"/>
    <w:rsid w:val="000D34DC"/>
    <w:rsid w:val="000D4242"/>
    <w:rsid w:val="000D4B2F"/>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3A7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2DE4"/>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186E"/>
    <w:rsid w:val="001C1D8A"/>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267"/>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1F72DD"/>
    <w:rsid w:val="00200251"/>
    <w:rsid w:val="00200EB0"/>
    <w:rsid w:val="00200F68"/>
    <w:rsid w:val="0020104E"/>
    <w:rsid w:val="00201055"/>
    <w:rsid w:val="0020107D"/>
    <w:rsid w:val="00201B06"/>
    <w:rsid w:val="00203FC5"/>
    <w:rsid w:val="002054BA"/>
    <w:rsid w:val="0020567B"/>
    <w:rsid w:val="002061CB"/>
    <w:rsid w:val="00207895"/>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3387"/>
    <w:rsid w:val="00255492"/>
    <w:rsid w:val="002558A4"/>
    <w:rsid w:val="00256239"/>
    <w:rsid w:val="00256928"/>
    <w:rsid w:val="002570DA"/>
    <w:rsid w:val="0025745E"/>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360C"/>
    <w:rsid w:val="0029502B"/>
    <w:rsid w:val="002960A1"/>
    <w:rsid w:val="00296356"/>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24FE"/>
    <w:rsid w:val="002B4369"/>
    <w:rsid w:val="002B4F06"/>
    <w:rsid w:val="002B527F"/>
    <w:rsid w:val="002B54EC"/>
    <w:rsid w:val="002B5D53"/>
    <w:rsid w:val="002B64AF"/>
    <w:rsid w:val="002B714E"/>
    <w:rsid w:val="002C0424"/>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74D"/>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354"/>
    <w:rsid w:val="00323EAD"/>
    <w:rsid w:val="00324289"/>
    <w:rsid w:val="00324F37"/>
    <w:rsid w:val="00325912"/>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5D0"/>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C35"/>
    <w:rsid w:val="003730D7"/>
    <w:rsid w:val="003734CF"/>
    <w:rsid w:val="00374B2F"/>
    <w:rsid w:val="0037784B"/>
    <w:rsid w:val="003806BE"/>
    <w:rsid w:val="00380C26"/>
    <w:rsid w:val="00381CA0"/>
    <w:rsid w:val="00382103"/>
    <w:rsid w:val="00383A64"/>
    <w:rsid w:val="0038594B"/>
    <w:rsid w:val="00385EA5"/>
    <w:rsid w:val="0038670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649"/>
    <w:rsid w:val="003C3C1E"/>
    <w:rsid w:val="003C4A78"/>
    <w:rsid w:val="003C4ADA"/>
    <w:rsid w:val="003C50B7"/>
    <w:rsid w:val="003C6113"/>
    <w:rsid w:val="003C6C10"/>
    <w:rsid w:val="003C6C7E"/>
    <w:rsid w:val="003D2037"/>
    <w:rsid w:val="003D22B1"/>
    <w:rsid w:val="003D2D80"/>
    <w:rsid w:val="003D4084"/>
    <w:rsid w:val="003D41A4"/>
    <w:rsid w:val="003D4280"/>
    <w:rsid w:val="003D47F5"/>
    <w:rsid w:val="003D54DF"/>
    <w:rsid w:val="003D5DC4"/>
    <w:rsid w:val="003D6981"/>
    <w:rsid w:val="003D7486"/>
    <w:rsid w:val="003E11B2"/>
    <w:rsid w:val="003E2612"/>
    <w:rsid w:val="003E26BE"/>
    <w:rsid w:val="003E2F4D"/>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802"/>
    <w:rsid w:val="0042188C"/>
    <w:rsid w:val="004221F2"/>
    <w:rsid w:val="00427613"/>
    <w:rsid w:val="004277B1"/>
    <w:rsid w:val="00430E5B"/>
    <w:rsid w:val="004311BD"/>
    <w:rsid w:val="00432A1D"/>
    <w:rsid w:val="00433832"/>
    <w:rsid w:val="00434610"/>
    <w:rsid w:val="00434E38"/>
    <w:rsid w:val="0043533D"/>
    <w:rsid w:val="00435AAA"/>
    <w:rsid w:val="0043657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504"/>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166"/>
    <w:rsid w:val="004A4F9E"/>
    <w:rsid w:val="004A511B"/>
    <w:rsid w:val="004A5BBD"/>
    <w:rsid w:val="004A5FB0"/>
    <w:rsid w:val="004B07A3"/>
    <w:rsid w:val="004B121D"/>
    <w:rsid w:val="004B175B"/>
    <w:rsid w:val="004B2CF8"/>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E79"/>
    <w:rsid w:val="00527329"/>
    <w:rsid w:val="00527A31"/>
    <w:rsid w:val="00527DC4"/>
    <w:rsid w:val="00527E62"/>
    <w:rsid w:val="00531810"/>
    <w:rsid w:val="00531999"/>
    <w:rsid w:val="00531AE0"/>
    <w:rsid w:val="00531E64"/>
    <w:rsid w:val="00532006"/>
    <w:rsid w:val="00532BBD"/>
    <w:rsid w:val="00534C21"/>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F74"/>
    <w:rsid w:val="0055685D"/>
    <w:rsid w:val="00556B02"/>
    <w:rsid w:val="0055776D"/>
    <w:rsid w:val="00560497"/>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295"/>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047A"/>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2FB3"/>
    <w:rsid w:val="005F34FB"/>
    <w:rsid w:val="005F3922"/>
    <w:rsid w:val="005F3CD2"/>
    <w:rsid w:val="005F3E31"/>
    <w:rsid w:val="005F41F0"/>
    <w:rsid w:val="005F52FE"/>
    <w:rsid w:val="005F5D7E"/>
    <w:rsid w:val="005F61EB"/>
    <w:rsid w:val="005F740B"/>
    <w:rsid w:val="00600E3B"/>
    <w:rsid w:val="00601085"/>
    <w:rsid w:val="00603BAB"/>
    <w:rsid w:val="00603BF0"/>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4195"/>
    <w:rsid w:val="0062427E"/>
    <w:rsid w:val="0062490A"/>
    <w:rsid w:val="00624AC6"/>
    <w:rsid w:val="00624D66"/>
    <w:rsid w:val="00625028"/>
    <w:rsid w:val="00625BA0"/>
    <w:rsid w:val="00625E9C"/>
    <w:rsid w:val="00625FF1"/>
    <w:rsid w:val="006260E7"/>
    <w:rsid w:val="00626D0B"/>
    <w:rsid w:val="006308B6"/>
    <w:rsid w:val="00630956"/>
    <w:rsid w:val="00630D3E"/>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27C35"/>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46E2B"/>
    <w:rsid w:val="00750AF9"/>
    <w:rsid w:val="007516E8"/>
    <w:rsid w:val="00751F63"/>
    <w:rsid w:val="00753419"/>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92B"/>
    <w:rsid w:val="007B5C68"/>
    <w:rsid w:val="007B5E89"/>
    <w:rsid w:val="007B753B"/>
    <w:rsid w:val="007C173A"/>
    <w:rsid w:val="007C2F26"/>
    <w:rsid w:val="007C3B46"/>
    <w:rsid w:val="007C4522"/>
    <w:rsid w:val="007C542B"/>
    <w:rsid w:val="007C55B4"/>
    <w:rsid w:val="007C706D"/>
    <w:rsid w:val="007C779D"/>
    <w:rsid w:val="007D0101"/>
    <w:rsid w:val="007D0906"/>
    <w:rsid w:val="007D10BD"/>
    <w:rsid w:val="007D26D6"/>
    <w:rsid w:val="007D2B63"/>
    <w:rsid w:val="007D346F"/>
    <w:rsid w:val="007D3F6C"/>
    <w:rsid w:val="007D49E1"/>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879"/>
    <w:rsid w:val="00802D9C"/>
    <w:rsid w:val="00803451"/>
    <w:rsid w:val="00804C66"/>
    <w:rsid w:val="008064D0"/>
    <w:rsid w:val="00806D5D"/>
    <w:rsid w:val="00807B1F"/>
    <w:rsid w:val="00810453"/>
    <w:rsid w:val="00811626"/>
    <w:rsid w:val="008138BA"/>
    <w:rsid w:val="008152B7"/>
    <w:rsid w:val="008161DE"/>
    <w:rsid w:val="00816C11"/>
    <w:rsid w:val="00816CB0"/>
    <w:rsid w:val="00817125"/>
    <w:rsid w:val="008171F1"/>
    <w:rsid w:val="00817D1F"/>
    <w:rsid w:val="008202D8"/>
    <w:rsid w:val="00821426"/>
    <w:rsid w:val="00822F0D"/>
    <w:rsid w:val="00823853"/>
    <w:rsid w:val="00823C4D"/>
    <w:rsid w:val="008245FA"/>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A7F"/>
    <w:rsid w:val="00873B08"/>
    <w:rsid w:val="008740D7"/>
    <w:rsid w:val="00874649"/>
    <w:rsid w:val="00874A3E"/>
    <w:rsid w:val="00875215"/>
    <w:rsid w:val="008773FE"/>
    <w:rsid w:val="00877752"/>
    <w:rsid w:val="00881D2C"/>
    <w:rsid w:val="00881D71"/>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2CB"/>
    <w:rsid w:val="008A1887"/>
    <w:rsid w:val="008A20B5"/>
    <w:rsid w:val="008A26EC"/>
    <w:rsid w:val="008A2ED9"/>
    <w:rsid w:val="008A3AE5"/>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9AE"/>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4C69"/>
    <w:rsid w:val="00904F07"/>
    <w:rsid w:val="009051F2"/>
    <w:rsid w:val="009054D5"/>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A1E"/>
    <w:rsid w:val="009C73CB"/>
    <w:rsid w:val="009C74E7"/>
    <w:rsid w:val="009C7C88"/>
    <w:rsid w:val="009D002E"/>
    <w:rsid w:val="009D066F"/>
    <w:rsid w:val="009D10A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7786"/>
    <w:rsid w:val="00A3069D"/>
    <w:rsid w:val="00A31589"/>
    <w:rsid w:val="00A32A61"/>
    <w:rsid w:val="00A32A7C"/>
    <w:rsid w:val="00A35CEA"/>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3D12"/>
    <w:rsid w:val="00A54160"/>
    <w:rsid w:val="00A5464A"/>
    <w:rsid w:val="00A547F9"/>
    <w:rsid w:val="00A54D2A"/>
    <w:rsid w:val="00A5631F"/>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52DA"/>
    <w:rsid w:val="00A76368"/>
    <w:rsid w:val="00A76FE6"/>
    <w:rsid w:val="00A77FBF"/>
    <w:rsid w:val="00A77FDD"/>
    <w:rsid w:val="00A802B9"/>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15A1"/>
    <w:rsid w:val="00AC2E84"/>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63BF"/>
    <w:rsid w:val="00AE71FB"/>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0D70"/>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575A0"/>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5D64"/>
    <w:rsid w:val="00B765ED"/>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4E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60CD"/>
    <w:rsid w:val="00CC711A"/>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8C5"/>
    <w:rsid w:val="00D05AA5"/>
    <w:rsid w:val="00D06370"/>
    <w:rsid w:val="00D103B4"/>
    <w:rsid w:val="00D105DF"/>
    <w:rsid w:val="00D10FB0"/>
    <w:rsid w:val="00D120B0"/>
    <w:rsid w:val="00D12151"/>
    <w:rsid w:val="00D122E8"/>
    <w:rsid w:val="00D124FC"/>
    <w:rsid w:val="00D12CDA"/>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776"/>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0C70"/>
    <w:rsid w:val="00D513AA"/>
    <w:rsid w:val="00D518E6"/>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67375"/>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4CE8"/>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2083"/>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0A"/>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28BE"/>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551A"/>
    <w:rsid w:val="00E257F8"/>
    <w:rsid w:val="00E25DBA"/>
    <w:rsid w:val="00E25F35"/>
    <w:rsid w:val="00E266D2"/>
    <w:rsid w:val="00E2698B"/>
    <w:rsid w:val="00E26A7C"/>
    <w:rsid w:val="00E26C27"/>
    <w:rsid w:val="00E27D14"/>
    <w:rsid w:val="00E313E3"/>
    <w:rsid w:val="00E32821"/>
    <w:rsid w:val="00E33AB9"/>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5CE"/>
    <w:rsid w:val="00E66D85"/>
    <w:rsid w:val="00E675D8"/>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080F"/>
    <w:rsid w:val="00F00E2E"/>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6EEE"/>
    <w:rsid w:val="00F37FEE"/>
    <w:rsid w:val="00F4053A"/>
    <w:rsid w:val="00F40790"/>
    <w:rsid w:val="00F408A1"/>
    <w:rsid w:val="00F418B1"/>
    <w:rsid w:val="00F4268C"/>
    <w:rsid w:val="00F42DCD"/>
    <w:rsid w:val="00F441D1"/>
    <w:rsid w:val="00F444A8"/>
    <w:rsid w:val="00F44FC0"/>
    <w:rsid w:val="00F4600D"/>
    <w:rsid w:val="00F46580"/>
    <w:rsid w:val="00F46EF8"/>
    <w:rsid w:val="00F471C8"/>
    <w:rsid w:val="00F47F86"/>
    <w:rsid w:val="00F5038C"/>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9E0"/>
    <w:rsid w:val="00FD0A30"/>
    <w:rsid w:val="00FD104E"/>
    <w:rsid w:val="00FD1FB2"/>
    <w:rsid w:val="00FD23A6"/>
    <w:rsid w:val="00FD3424"/>
    <w:rsid w:val="00FD37DA"/>
    <w:rsid w:val="00FD3ED3"/>
    <w:rsid w:val="00FD5888"/>
    <w:rsid w:val="00FD5B39"/>
    <w:rsid w:val="00FD5D1D"/>
    <w:rsid w:val="00FD5E06"/>
    <w:rsid w:val="00FD6129"/>
    <w:rsid w:val="00FE22F8"/>
    <w:rsid w:val="00FE23CF"/>
    <w:rsid w:val="00FE2FE7"/>
    <w:rsid w:val="00FE3E55"/>
    <w:rsid w:val="00FE605D"/>
    <w:rsid w:val="00FE6981"/>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074AD2"/>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074AD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48"/>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rsid w:val="00A50FC1"/>
    <w:pPr>
      <w:numPr>
        <w:numId w:val="53"/>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9874168">
      <w:bodyDiv w:val="1"/>
      <w:marLeft w:val="0"/>
      <w:marRight w:val="0"/>
      <w:marTop w:val="0"/>
      <w:marBottom w:val="0"/>
      <w:divBdr>
        <w:top w:val="none" w:sz="0" w:space="0" w:color="auto"/>
        <w:left w:val="none" w:sz="0" w:space="0" w:color="auto"/>
        <w:bottom w:val="none" w:sz="0" w:space="0" w:color="auto"/>
        <w:right w:val="none" w:sz="0" w:space="0" w:color="auto"/>
      </w:divBdr>
      <w:divsChild>
        <w:div w:id="990796239">
          <w:marLeft w:val="1800"/>
          <w:marRight w:val="0"/>
          <w:marTop w:val="77"/>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62114">
      <w:bodyDiv w:val="1"/>
      <w:marLeft w:val="0"/>
      <w:marRight w:val="0"/>
      <w:marTop w:val="0"/>
      <w:marBottom w:val="0"/>
      <w:divBdr>
        <w:top w:val="none" w:sz="0" w:space="0" w:color="auto"/>
        <w:left w:val="none" w:sz="0" w:space="0" w:color="auto"/>
        <w:bottom w:val="none" w:sz="0" w:space="0" w:color="auto"/>
        <w:right w:val="none" w:sz="0" w:space="0" w:color="auto"/>
      </w:divBdr>
      <w:divsChild>
        <w:div w:id="1437676492">
          <w:marLeft w:val="1800"/>
          <w:marRight w:val="0"/>
          <w:marTop w:val="77"/>
          <w:marBottom w:val="0"/>
          <w:divBdr>
            <w:top w:val="none" w:sz="0" w:space="0" w:color="auto"/>
            <w:left w:val="none" w:sz="0" w:space="0" w:color="auto"/>
            <w:bottom w:val="none" w:sz="0" w:space="0" w:color="auto"/>
            <w:right w:val="none" w:sz="0" w:space="0" w:color="auto"/>
          </w:divBdr>
        </w:div>
      </w:divsChild>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0376834">
      <w:bodyDiv w:val="1"/>
      <w:marLeft w:val="0"/>
      <w:marRight w:val="0"/>
      <w:marTop w:val="0"/>
      <w:marBottom w:val="0"/>
      <w:divBdr>
        <w:top w:val="none" w:sz="0" w:space="0" w:color="auto"/>
        <w:left w:val="none" w:sz="0" w:space="0" w:color="auto"/>
        <w:bottom w:val="none" w:sz="0" w:space="0" w:color="auto"/>
        <w:right w:val="none" w:sz="0" w:space="0" w:color="auto"/>
      </w:divBdr>
      <w:divsChild>
        <w:div w:id="678628258">
          <w:marLeft w:val="1800"/>
          <w:marRight w:val="0"/>
          <w:marTop w:val="77"/>
          <w:marBottom w:val="0"/>
          <w:divBdr>
            <w:top w:val="none" w:sz="0" w:space="0" w:color="auto"/>
            <w:left w:val="none" w:sz="0" w:space="0" w:color="auto"/>
            <w:bottom w:val="none" w:sz="0" w:space="0" w:color="auto"/>
            <w:right w:val="none" w:sz="0" w:space="0" w:color="auto"/>
          </w:divBdr>
        </w:div>
      </w:divsChild>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04349140">
      <w:bodyDiv w:val="1"/>
      <w:marLeft w:val="0"/>
      <w:marRight w:val="0"/>
      <w:marTop w:val="0"/>
      <w:marBottom w:val="0"/>
      <w:divBdr>
        <w:top w:val="none" w:sz="0" w:space="0" w:color="auto"/>
        <w:left w:val="none" w:sz="0" w:space="0" w:color="auto"/>
        <w:bottom w:val="none" w:sz="0" w:space="0" w:color="auto"/>
        <w:right w:val="none" w:sz="0" w:space="0" w:color="auto"/>
      </w:divBdr>
      <w:divsChild>
        <w:div w:id="1226646830">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0216878">
      <w:bodyDiv w:val="1"/>
      <w:marLeft w:val="0"/>
      <w:marRight w:val="0"/>
      <w:marTop w:val="0"/>
      <w:marBottom w:val="0"/>
      <w:divBdr>
        <w:top w:val="none" w:sz="0" w:space="0" w:color="auto"/>
        <w:left w:val="none" w:sz="0" w:space="0" w:color="auto"/>
        <w:bottom w:val="none" w:sz="0" w:space="0" w:color="auto"/>
        <w:right w:val="none" w:sz="0" w:space="0" w:color="auto"/>
      </w:divBdr>
      <w:divsChild>
        <w:div w:id="876965245">
          <w:marLeft w:val="1800"/>
          <w:marRight w:val="0"/>
          <w:marTop w:val="77"/>
          <w:marBottom w:val="0"/>
          <w:divBdr>
            <w:top w:val="none" w:sz="0" w:space="0" w:color="auto"/>
            <w:left w:val="none" w:sz="0" w:space="0" w:color="auto"/>
            <w:bottom w:val="none" w:sz="0" w:space="0" w:color="auto"/>
            <w:right w:val="none" w:sz="0" w:space="0" w:color="auto"/>
          </w:divBdr>
        </w:div>
        <w:div w:id="1059088494">
          <w:marLeft w:val="1800"/>
          <w:marRight w:val="0"/>
          <w:marTop w:val="77"/>
          <w:marBottom w:val="0"/>
          <w:divBdr>
            <w:top w:val="none" w:sz="0" w:space="0" w:color="auto"/>
            <w:left w:val="none" w:sz="0" w:space="0" w:color="auto"/>
            <w:bottom w:val="none" w:sz="0" w:space="0" w:color="auto"/>
            <w:right w:val="none" w:sz="0" w:space="0" w:color="auto"/>
          </w:divBdr>
        </w:div>
      </w:divsChild>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3.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7.xml><?xml version="1.0" encoding="utf-8"?>
<ds:datastoreItem xmlns:ds="http://schemas.openxmlformats.org/officeDocument/2006/customXml" ds:itemID="{B6F62455-E994-4DFE-8374-D2A8FC3F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1768</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39</cp:revision>
  <cp:lastPrinted>2017-09-12T10:53:00Z</cp:lastPrinted>
  <dcterms:created xsi:type="dcterms:W3CDTF">2019-03-26T21:16:00Z</dcterms:created>
  <dcterms:modified xsi:type="dcterms:W3CDTF">2019-03-29T00:16:00Z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-151266553</vt:i4>
  </property>
  <property fmtid="{D5CDD505-2E9C-101B-9397-08002B2CF9AE}" pid="27" name="_EmailSubject">
    <vt:lpwstr>RAN2 paper skeleton draft for Msg1 Data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